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jpeg"/>
  <Override PartName="/word/media/image6.jpg" ContentType="image/jpeg"/>
  <Override PartName="/word/media/image7.jpg" ContentType="image/jpeg"/>
  <Override PartName="/word/media/image9.jpg" ContentType="image/jpeg"/>
  <Override PartName="/word/media/image10.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C1C" w:rsidRDefault="001C6C1C" w:rsidP="001C6C1C">
      <w:pPr>
        <w:spacing w:line="480" w:lineRule="auto"/>
        <w:jc w:val="center"/>
        <w:rPr>
          <w:b/>
        </w:rPr>
      </w:pPr>
      <w:bookmarkStart w:id="0" w:name="_GoBack"/>
      <w:bookmarkEnd w:id="0"/>
    </w:p>
    <w:p w:rsidR="001C6C1C" w:rsidRDefault="001C6C1C" w:rsidP="001C6C1C">
      <w:pPr>
        <w:spacing w:line="480" w:lineRule="auto"/>
        <w:jc w:val="center"/>
        <w:rPr>
          <w:b/>
        </w:rPr>
      </w:pPr>
    </w:p>
    <w:p w:rsidR="001C6C1C" w:rsidRPr="001C6C1C" w:rsidRDefault="001C6C1C" w:rsidP="001C6C1C">
      <w:pPr>
        <w:spacing w:line="480" w:lineRule="auto"/>
        <w:jc w:val="center"/>
        <w:rPr>
          <w:b/>
        </w:rPr>
      </w:pPr>
      <w:r w:rsidRPr="001C6C1C">
        <w:rPr>
          <w:b/>
        </w:rPr>
        <w:t>Race, Place and Repertoire Change in U. S. Lynching, 1830-1930</w:t>
      </w:r>
    </w:p>
    <w:p w:rsidR="001C6C1C" w:rsidRDefault="001C6C1C" w:rsidP="001C6C1C">
      <w:pPr>
        <w:spacing w:line="480" w:lineRule="auto"/>
        <w:jc w:val="center"/>
        <w:rPr>
          <w:b/>
        </w:rPr>
      </w:pPr>
    </w:p>
    <w:p w:rsidR="001C6C1C" w:rsidRDefault="001C6C1C" w:rsidP="001C6C1C">
      <w:pPr>
        <w:spacing w:line="480" w:lineRule="auto"/>
        <w:jc w:val="center"/>
        <w:rPr>
          <w:b/>
        </w:rPr>
      </w:pPr>
    </w:p>
    <w:p w:rsidR="001C6C1C" w:rsidRDefault="001C6C1C" w:rsidP="001C6C1C">
      <w:pPr>
        <w:spacing w:line="480" w:lineRule="auto"/>
        <w:jc w:val="center"/>
        <w:rPr>
          <w:b/>
        </w:rPr>
      </w:pPr>
    </w:p>
    <w:p w:rsidR="001C6C1C" w:rsidRPr="001C6C1C" w:rsidRDefault="001C6C1C" w:rsidP="001C6C1C">
      <w:pPr>
        <w:spacing w:line="480" w:lineRule="auto"/>
        <w:jc w:val="center"/>
        <w:rPr>
          <w:b/>
        </w:rPr>
      </w:pPr>
      <w:r w:rsidRPr="001C6C1C">
        <w:rPr>
          <w:b/>
        </w:rPr>
        <w:t>Abstract</w:t>
      </w:r>
    </w:p>
    <w:p w:rsidR="001C6C1C" w:rsidRPr="001C6C1C" w:rsidRDefault="001C6C1C" w:rsidP="001C6C1C">
      <w:pPr>
        <w:spacing w:line="480" w:lineRule="auto"/>
        <w:rPr>
          <w:b/>
        </w:rPr>
      </w:pPr>
      <w:r w:rsidRPr="001C6C1C">
        <w:rPr>
          <w:b/>
        </w:rPr>
        <w:tab/>
        <w:t>Sociologists seem to agree that Southern lynching peaked between 1890 and 1929, but it is less clear how and why lynching emerged when and where it did and how it changed in form and function, particularly between the Western frontier vigilantism of 1850-1865 and the antebellum, Reconstruction, and subsequent waves of Southern lynching.  Here we examine lynching data from Western, Southern, and other states and from the Freedmen’s Bureau 1868 report of outrages in Georgia to suggest how and why lynching ebbed, flowed and changed in form and function between Denver, Colorado in 1859 and Camilla, Georgia in 1868</w:t>
      </w:r>
      <w:r>
        <w:rPr>
          <w:b/>
        </w:rPr>
        <w:t xml:space="preserve"> and </w:t>
      </w:r>
      <w:r w:rsidRPr="001C6C1C">
        <w:rPr>
          <w:b/>
        </w:rPr>
        <w:t>how this might inform the analysis of lynching in subsequent waves, particularly 1890-1929.</w:t>
      </w:r>
    </w:p>
    <w:p w:rsidR="001C6C1C" w:rsidRPr="001C6C1C" w:rsidRDefault="001C6C1C" w:rsidP="001C6C1C">
      <w:pPr>
        <w:spacing w:line="480" w:lineRule="auto"/>
        <w:jc w:val="center"/>
        <w:rPr>
          <w:b/>
        </w:rPr>
      </w:pPr>
    </w:p>
    <w:p w:rsidR="001C6C1C" w:rsidRPr="001C6C1C" w:rsidRDefault="001C6C1C" w:rsidP="001C6C1C">
      <w:pPr>
        <w:spacing w:line="480" w:lineRule="auto"/>
      </w:pPr>
      <w:r w:rsidRPr="001C6C1C">
        <w:t>Richard Hogan</w:t>
      </w:r>
    </w:p>
    <w:p w:rsidR="001C6C1C" w:rsidRPr="001C6C1C" w:rsidRDefault="001C6C1C" w:rsidP="001C6C1C">
      <w:pPr>
        <w:spacing w:line="480" w:lineRule="auto"/>
      </w:pPr>
      <w:r w:rsidRPr="001C6C1C">
        <w:t>Sociology, Purdue University</w:t>
      </w:r>
    </w:p>
    <w:p w:rsidR="001C6C1C" w:rsidRPr="001C6C1C" w:rsidRDefault="001C6C1C" w:rsidP="001C6C1C">
      <w:pPr>
        <w:spacing w:line="480" w:lineRule="auto"/>
      </w:pPr>
      <w:r w:rsidRPr="001C6C1C">
        <w:t>Working Paper</w:t>
      </w:r>
    </w:p>
    <w:p w:rsidR="001C6C1C" w:rsidRPr="001C6C1C" w:rsidRDefault="001C6C1C" w:rsidP="001C6C1C">
      <w:pPr>
        <w:spacing w:line="480" w:lineRule="auto"/>
      </w:pPr>
      <w:r w:rsidRPr="001C6C1C">
        <w:t>Please do not cite without permission</w:t>
      </w:r>
    </w:p>
    <w:p w:rsidR="001C6C1C" w:rsidRPr="001C6C1C" w:rsidRDefault="007714C4" w:rsidP="001C6C1C">
      <w:pPr>
        <w:spacing w:line="480" w:lineRule="auto"/>
      </w:pPr>
      <w:r>
        <w:t>February 22</w:t>
      </w:r>
      <w:r w:rsidR="001C6C1C" w:rsidRPr="001C6C1C">
        <w:t>, 2013</w:t>
      </w:r>
    </w:p>
    <w:p w:rsidR="001C6C1C" w:rsidRPr="001C6C1C" w:rsidRDefault="00862519" w:rsidP="001C6C1C">
      <w:pPr>
        <w:spacing w:line="480" w:lineRule="auto"/>
        <w:rPr>
          <w:b/>
        </w:rPr>
      </w:pPr>
      <w:hyperlink r:id="rId8" w:history="1">
        <w:r w:rsidR="001C6C1C" w:rsidRPr="001C6C1C">
          <w:rPr>
            <w:rStyle w:val="Hyperlink"/>
            <w:b/>
          </w:rPr>
          <w:t>hoganr@purdue.edu</w:t>
        </w:r>
      </w:hyperlink>
    </w:p>
    <w:p w:rsidR="00A77AF1" w:rsidRPr="00A77AF1" w:rsidRDefault="00A77AF1" w:rsidP="00844638">
      <w:pPr>
        <w:spacing w:line="480" w:lineRule="auto"/>
        <w:ind w:left="720" w:right="720"/>
      </w:pPr>
      <w:r>
        <w:lastRenderedPageBreak/>
        <w:t xml:space="preserve">HORSE THIEF—On Friday last a man by the name of James Hanna, formerly of Ohio, was caught in the </w:t>
      </w:r>
      <w:proofErr w:type="spellStart"/>
      <w:r>
        <w:t>pineries</w:t>
      </w:r>
      <w:proofErr w:type="spellEnd"/>
      <w:r>
        <w:t xml:space="preserve">, about thirty miles from this place, with five ponies and a mule in his possession.  On Saturday he was brought to town and the animals were identified and claimed by their respective owners.  The people held a court, for the purpose of trying the offender, by appointing a president, clerk, and twelve jurymen.  After hearing the evidence, which was of an indefinite character, the jury pronounced it was not sufficient to convict him, and he was accordingly released (Hogan 1990, p. 25, quoting </w:t>
      </w:r>
      <w:r>
        <w:rPr>
          <w:i/>
        </w:rPr>
        <w:t xml:space="preserve">Rocky Mountain News </w:t>
      </w:r>
      <w:r>
        <w:t>28 May 1859, p. 2).</w:t>
      </w:r>
    </w:p>
    <w:p w:rsidR="00A77AF1" w:rsidRDefault="00A77AF1" w:rsidP="00D74920">
      <w:pPr>
        <w:spacing w:line="480" w:lineRule="auto"/>
      </w:pPr>
    </w:p>
    <w:p w:rsidR="006C392B" w:rsidRDefault="00FD2391" w:rsidP="00844638">
      <w:pPr>
        <w:spacing w:line="480" w:lineRule="auto"/>
        <w:ind w:firstLine="720"/>
      </w:pPr>
      <w:r>
        <w:t xml:space="preserve">“Vigilantism” </w:t>
      </w:r>
      <w:r w:rsidR="00724E36" w:rsidRPr="00724E36">
        <w:t>is a contentious gathering in which participants claim the authority of government</w:t>
      </w:r>
      <w:r w:rsidR="00907940">
        <w:t>,</w:t>
      </w:r>
      <w:r w:rsidR="00724E36" w:rsidRPr="00724E36">
        <w:t xml:space="preserve"> acting as sheriff, judge, jury, and executioner in defiance of established authorities.  </w:t>
      </w:r>
      <w:r>
        <w:t xml:space="preserve">“Lynching” often refers to the actions of vigilantes, although </w:t>
      </w:r>
      <w:proofErr w:type="spellStart"/>
      <w:r>
        <w:t>Tolnay</w:t>
      </w:r>
      <w:proofErr w:type="spellEnd"/>
      <w:r>
        <w:t xml:space="preserve"> and Beck </w:t>
      </w:r>
      <w:r w:rsidR="0038542F">
        <w:t xml:space="preserve">(1995) </w:t>
      </w:r>
      <w:r>
        <w:t>have established the standard for social scientists, limiting lynching events to cases where three or more persons killed someone in defense of law or tradition.</w:t>
      </w:r>
      <w:r w:rsidR="008B1A6A">
        <w:rPr>
          <w:rStyle w:val="FootnoteReference"/>
        </w:rPr>
        <w:footnoteReference w:id="1"/>
      </w:r>
      <w:r>
        <w:t xml:space="preserve">   </w:t>
      </w:r>
      <w:r w:rsidR="000445EE">
        <w:t xml:space="preserve">According to these definitions, Hanna’s trial was a contentious gathering but </w:t>
      </w:r>
      <w:r w:rsidR="00054A0A">
        <w:t xml:space="preserve">not </w:t>
      </w:r>
      <w:r w:rsidR="000445EE">
        <w:t xml:space="preserve">vigilantism or lynching.  </w:t>
      </w:r>
      <w:r w:rsidR="00054A0A">
        <w:t xml:space="preserve">The trial was not vigilantism because there was no apparent defiance of established authorities.  In fact, like many old fashioned contentious gatherings (e.g. food riots), the crowd was imitating the behavior of established authorities and attempting to act appropriately, or at least legitimately, according to </w:t>
      </w:r>
      <w:r w:rsidR="00054A0A">
        <w:lastRenderedPageBreak/>
        <w:t xml:space="preserve">traditional standards of justice.  </w:t>
      </w:r>
      <w:r w:rsidR="007107D8">
        <w:t>Similarly</w:t>
      </w:r>
      <w:r w:rsidR="00054A0A">
        <w:t xml:space="preserve">, this was not a lynching, </w:t>
      </w:r>
      <w:r w:rsidR="007107D8">
        <w:t xml:space="preserve">because </w:t>
      </w:r>
      <w:r w:rsidR="00054A0A">
        <w:t xml:space="preserve">the accused was released unharmed (Leonard 2002; </w:t>
      </w:r>
      <w:proofErr w:type="spellStart"/>
      <w:r w:rsidR="0060538B">
        <w:t>Tolnay</w:t>
      </w:r>
      <w:proofErr w:type="spellEnd"/>
      <w:r w:rsidR="0060538B">
        <w:t xml:space="preserve"> and Beck 1995</w:t>
      </w:r>
      <w:r w:rsidR="00054A0A">
        <w:t>)</w:t>
      </w:r>
      <w:r w:rsidR="0060538B">
        <w:t xml:space="preserve">. </w:t>
      </w:r>
      <w:r w:rsidR="001B5B39">
        <w:t xml:space="preserve"> </w:t>
      </w:r>
    </w:p>
    <w:p w:rsidR="0060538B" w:rsidRDefault="001B5B39" w:rsidP="00844638">
      <w:pPr>
        <w:spacing w:line="480" w:lineRule="auto"/>
        <w:ind w:firstLine="720"/>
      </w:pPr>
      <w:r>
        <w:t>We migh</w:t>
      </w:r>
      <w:r w:rsidR="00494719">
        <w:t>t, however, want to re-</w:t>
      </w:r>
      <w:r w:rsidR="0060538B">
        <w:t>classif</w:t>
      </w:r>
      <w:r w:rsidR="00054A0A">
        <w:t>y this event</w:t>
      </w:r>
      <w:r w:rsidR="0060538B">
        <w:t xml:space="preserve"> after considering what happened after Hanna was acquitted. </w:t>
      </w:r>
      <w:r w:rsidR="006C392B">
        <w:t xml:space="preserve">  </w:t>
      </w:r>
      <w:r w:rsidR="0060538B">
        <w:t xml:space="preserve">A </w:t>
      </w:r>
      <w:r>
        <w:t xml:space="preserve">lynch </w:t>
      </w:r>
      <w:r w:rsidR="0060538B">
        <w:t>mob</w:t>
      </w:r>
      <w:r>
        <w:t xml:space="preserve"> (or vigilantes)</w:t>
      </w:r>
      <w:r w:rsidR="0060538B">
        <w:t>, identified only as “some citizens” in the local newspaper, seized the acquitted suspect and threatened to hang him if he did not confess his crimes and implicate his associates.  Even though he complied, however, the mob became angry when unable to find his associates</w:t>
      </w:r>
      <w:r>
        <w:t>,</w:t>
      </w:r>
      <w:r w:rsidR="0060538B">
        <w:t xml:space="preserve"> so they did hang Hanna, </w:t>
      </w:r>
      <w:r w:rsidR="00907940">
        <w:t xml:space="preserve">but not until dead.  Instead, they cut him down, </w:t>
      </w:r>
      <w:r w:rsidR="0060538B">
        <w:t>gave him fifty lashes</w:t>
      </w:r>
      <w:r>
        <w:t>,</w:t>
      </w:r>
      <w:r w:rsidR="0060538B">
        <w:t xml:space="preserve"> and </w:t>
      </w:r>
      <w:r w:rsidR="00907940">
        <w:t xml:space="preserve">then </w:t>
      </w:r>
      <w:r w:rsidR="0060538B">
        <w:t>expelled him from the Rocky Mountain region under threat of death</w:t>
      </w:r>
      <w:r w:rsidR="00907940">
        <w:t xml:space="preserve"> should he ever return</w:t>
      </w:r>
      <w:r w:rsidR="0060538B">
        <w:t>.</w:t>
      </w:r>
    </w:p>
    <w:p w:rsidR="00287427" w:rsidRDefault="0060538B" w:rsidP="00317CDE">
      <w:pPr>
        <w:spacing w:line="480" w:lineRule="auto"/>
        <w:ind w:firstLine="720"/>
      </w:pPr>
      <w:r>
        <w:t xml:space="preserve">So, </w:t>
      </w:r>
      <w:r w:rsidR="00314FB8">
        <w:t xml:space="preserve">was </w:t>
      </w:r>
      <w:r>
        <w:t xml:space="preserve">Hanna lynched, even though he was not killed?  </w:t>
      </w:r>
    </w:p>
    <w:p w:rsidR="005B6235" w:rsidRDefault="00907940" w:rsidP="00317CDE">
      <w:pPr>
        <w:spacing w:line="480" w:lineRule="auto"/>
        <w:ind w:firstLine="720"/>
      </w:pPr>
      <w:r>
        <w:t>Had the lynch mob miscalculated</w:t>
      </w:r>
      <w:r w:rsidR="00287427">
        <w:t>,</w:t>
      </w:r>
      <w:r>
        <w:t xml:space="preserve"> H</w:t>
      </w:r>
      <w:r w:rsidR="00314FB8">
        <w:t>anna might have died, thus becoming</w:t>
      </w:r>
      <w:r>
        <w:t xml:space="preserve"> a lynching victim.  </w:t>
      </w:r>
      <w:r w:rsidR="00314FB8">
        <w:t xml:space="preserve">Instead, as a survivor, Hanna </w:t>
      </w:r>
      <w:r w:rsidR="000445EE">
        <w:t xml:space="preserve">is </w:t>
      </w:r>
      <w:r w:rsidR="00314FB8">
        <w:t xml:space="preserve">considered the victim of vigilantism but not a lynching victim.  </w:t>
      </w:r>
      <w:r w:rsidR="0060538B">
        <w:t xml:space="preserve">At the very least, </w:t>
      </w:r>
      <w:r>
        <w:t xml:space="preserve">even though his life was spared, </w:t>
      </w:r>
      <w:r w:rsidR="0060538B">
        <w:t xml:space="preserve">we </w:t>
      </w:r>
      <w:r w:rsidR="00314FB8">
        <w:t xml:space="preserve">should </w:t>
      </w:r>
      <w:r w:rsidR="0060538B">
        <w:t>count his hanging and whipping as acts of vigilantism, distinguished from the tr</w:t>
      </w:r>
      <w:r w:rsidR="00314FB8">
        <w:t>ial and acquittal that pre</w:t>
      </w:r>
      <w:r w:rsidR="0060538B">
        <w:t>ceded these events.</w:t>
      </w:r>
      <w:r>
        <w:t xml:space="preserve">  </w:t>
      </w:r>
      <w:r w:rsidR="0060538B">
        <w:t xml:space="preserve">Unfortunately, </w:t>
      </w:r>
      <w:r w:rsidR="00A15217">
        <w:t xml:space="preserve">however, </w:t>
      </w:r>
      <w:r w:rsidR="0060538B">
        <w:t>we lack a vocabulary for distinguishing extralegal but legalistic contention from vigilantism or lynching</w:t>
      </w:r>
      <w:r w:rsidR="001B5B39">
        <w:t>.</w:t>
      </w:r>
      <w:r w:rsidR="00054A0A">
        <w:rPr>
          <w:rStyle w:val="FootnoteReference"/>
        </w:rPr>
        <w:footnoteReference w:id="2"/>
      </w:r>
      <w:r w:rsidR="001B5B39">
        <w:t xml:space="preserve">  We also lack a term for terrorist vigilantism—the </w:t>
      </w:r>
      <w:r w:rsidR="001B5B39">
        <w:lastRenderedPageBreak/>
        <w:t xml:space="preserve">equivalent of waterboarding, using hanging </w:t>
      </w:r>
      <w:r w:rsidR="00317CDE">
        <w:t xml:space="preserve">or the threat of hanging </w:t>
      </w:r>
      <w:r w:rsidR="001B5B39">
        <w:t xml:space="preserve">in order to extract confessions.  </w:t>
      </w:r>
    </w:p>
    <w:p w:rsidR="009B7070" w:rsidRDefault="009A2D54" w:rsidP="009A2D54">
      <w:pPr>
        <w:spacing w:line="480" w:lineRule="auto"/>
        <w:ind w:firstLine="720"/>
      </w:pPr>
      <w:r>
        <w:t xml:space="preserve">There were, in fact, at least three distinct frontier authorities (in addition to provisional or territorial governments, town </w:t>
      </w:r>
      <w:r w:rsidR="00A15217">
        <w:t>companies and land claim clubs</w:t>
      </w:r>
      <w:r>
        <w:t xml:space="preserve">) fighting crime in frontier Denver: the People’s Court, the Denver Vigilance Committee, and the vigilantes.  The Vigilance Committee was formed at a public meeting on September 7, 1859.   “[T]he leading men of town signed the Constitution [and are] determined </w:t>
      </w:r>
      <w:r w:rsidR="00A15217">
        <w:t>to punish cr</w:t>
      </w:r>
      <w:r>
        <w:t xml:space="preserve">ime.” </w:t>
      </w:r>
      <w:proofErr w:type="gramStart"/>
      <w:r>
        <w:t>(Hogan 1990, p. 26, quoting Thomas Wildman</w:t>
      </w:r>
      <w:r w:rsidR="00A15217">
        <w:t>,</w:t>
      </w:r>
      <w:r>
        <w:t xml:space="preserve"> letter of September</w:t>
      </w:r>
      <w:r w:rsidR="00A15217">
        <w:t xml:space="preserve"> 8,</w:t>
      </w:r>
      <w:r>
        <w:t xml:space="preserve"> 1859).</w:t>
      </w:r>
      <w:proofErr w:type="gramEnd"/>
      <w:r>
        <w:t xml:space="preserve">  </w:t>
      </w:r>
      <w:r w:rsidR="009B7070">
        <w:t xml:space="preserve">Just as the People’s Court was not </w:t>
      </w:r>
      <w:r w:rsidR="009A5B39">
        <w:t xml:space="preserve">always </w:t>
      </w:r>
      <w:r w:rsidR="009B7070">
        <w:t>the final authority, the same might be said of the Vigilance Committee.  On September 1, 1860, nine men (perhaps members of the Vigilance Committee) left town in pursuit of livestock thieves, but they reported no success.  Within the next few days, however, three men</w:t>
      </w:r>
      <w:r w:rsidR="00630124">
        <w:t>, including a Denver City Councilman,</w:t>
      </w:r>
      <w:r w:rsidR="009B7070">
        <w:t xml:space="preserve"> alleged to be the leaders of the horse</w:t>
      </w:r>
      <w:r w:rsidR="00B04DC1">
        <w:t xml:space="preserve"> </w:t>
      </w:r>
      <w:r w:rsidR="009B7070">
        <w:t>thieving ring</w:t>
      </w:r>
      <w:r w:rsidR="00630124">
        <w:t>,</w:t>
      </w:r>
      <w:r w:rsidR="009B7070">
        <w:t xml:space="preserve"> were found hanging in the vicinit</w:t>
      </w:r>
      <w:r w:rsidR="00630124">
        <w:t>y.</w:t>
      </w:r>
    </w:p>
    <w:p w:rsidR="005B6235" w:rsidRDefault="009B7070" w:rsidP="009A2D54">
      <w:pPr>
        <w:spacing w:line="480" w:lineRule="auto"/>
        <w:ind w:firstLine="720"/>
      </w:pPr>
      <w:r>
        <w:t>The local editor reported that these men were killed by “unknown parties.”  Smiley, in 1901, reported the lynching as follows.</w:t>
      </w:r>
    </w:p>
    <w:p w:rsidR="009B7070" w:rsidRDefault="009B7070" w:rsidP="00844638">
      <w:pPr>
        <w:spacing w:line="480" w:lineRule="auto"/>
        <w:ind w:left="720" w:right="720"/>
      </w:pPr>
      <w:r>
        <w:t>Who constituted the grim tribunal … no one undertook to inquire.  [I]t was then understood to be a forbidden topic.  These circumstantial details were related to the writer by a low-voiced gentle-mannered pioneer, of those times, who is still living in Denver, and is the only one of [the] four executioners now living. (Hogan 1990, p. 31)</w:t>
      </w:r>
    </w:p>
    <w:p w:rsidR="006C392B" w:rsidRDefault="006C392B" w:rsidP="006C392B">
      <w:pPr>
        <w:spacing w:line="480" w:lineRule="auto"/>
        <w:ind w:firstLine="720"/>
      </w:pPr>
    </w:p>
    <w:p w:rsidR="006C392B" w:rsidRDefault="006C392B" w:rsidP="006C392B">
      <w:pPr>
        <w:spacing w:line="480" w:lineRule="auto"/>
        <w:ind w:firstLine="720"/>
      </w:pPr>
      <w:r>
        <w:lastRenderedPageBreak/>
        <w:t>So here we have three actors/actions: (1) a meeting of local shopkeepers and businessmen who</w:t>
      </w:r>
      <w:r w:rsidR="007E72CD">
        <w:t>, for our purposes,</w:t>
      </w:r>
      <w:r>
        <w:t xml:space="preserve"> constituted the </w:t>
      </w:r>
      <w:r w:rsidR="007E72CD">
        <w:t xml:space="preserve">Denver </w:t>
      </w:r>
      <w:r>
        <w:t>Vigilance Committee</w:t>
      </w:r>
      <w:r w:rsidR="00287427">
        <w:t xml:space="preserve"> or some version of the People’s Government</w:t>
      </w:r>
      <w:r>
        <w:t>, (2) the pursuit of the horse</w:t>
      </w:r>
      <w:r w:rsidR="00A15217">
        <w:t xml:space="preserve"> </w:t>
      </w:r>
      <w:r>
        <w:t>thieves by a posse</w:t>
      </w:r>
      <w:r w:rsidR="00A15217">
        <w:t xml:space="preserve"> of nine persons</w:t>
      </w:r>
      <w:r>
        <w:t>, recruited at the meeting, and (3) the lynching of the alleged horse thieves by vigilantes (four persons whose identities cannot be determined).</w:t>
      </w:r>
      <w:r w:rsidR="007E72CD">
        <w:t xml:space="preserve">  According to the definitions proposed above, the meeting is a contentious gathering but </w:t>
      </w:r>
      <w:r w:rsidR="00A15217">
        <w:t xml:space="preserve">is </w:t>
      </w:r>
      <w:r w:rsidR="007E72CD">
        <w:t>neither vigilantism nor lynching.  The posse is the agent of the Vigilance Committee and therefore neither vigilantism nor lynching.  The lynching, of course, is both a lynching and the work of vigilantes, four men</w:t>
      </w:r>
      <w:r w:rsidR="00630124">
        <w:t>, presumably</w:t>
      </w:r>
      <w:r w:rsidR="007E72CD">
        <w:t xml:space="preserve"> </w:t>
      </w:r>
      <w:r w:rsidR="00630124">
        <w:t xml:space="preserve">self-selected </w:t>
      </w:r>
      <w:r w:rsidR="007E72CD">
        <w:t xml:space="preserve">from among the nine </w:t>
      </w:r>
      <w:r w:rsidR="00630124">
        <w:t xml:space="preserve">man posse, </w:t>
      </w:r>
      <w:r w:rsidR="007E72CD">
        <w:t xml:space="preserve">who decided to take the law into their own hands, flaunting the authority of the Kansas Territory, the Provisional Government </w:t>
      </w:r>
      <w:r w:rsidR="00630124">
        <w:t xml:space="preserve">of </w:t>
      </w:r>
      <w:r w:rsidR="007E72CD">
        <w:t>Arapahoe County, the People’s Court, and even the Denver Vigilance Committee</w:t>
      </w:r>
      <w:r w:rsidR="007107D8">
        <w:t>.  A</w:t>
      </w:r>
      <w:r w:rsidR="007E72CD">
        <w:t xml:space="preserve">ll of </w:t>
      </w:r>
      <w:r w:rsidR="007107D8">
        <w:t xml:space="preserve">these frontier governing authorities </w:t>
      </w:r>
      <w:r w:rsidR="007E72CD">
        <w:t>would have demanded a public trial and execution</w:t>
      </w:r>
      <w:r w:rsidR="009A5B39">
        <w:t>.  T</w:t>
      </w:r>
      <w:r w:rsidR="007E72CD">
        <w:t>he vigilantes</w:t>
      </w:r>
      <w:r w:rsidR="0069084F" w:rsidRPr="0069084F">
        <w:t xml:space="preserve"> </w:t>
      </w:r>
      <w:r w:rsidR="0069084F">
        <w:t>flaunted established authorities by denying due process to the accused</w:t>
      </w:r>
      <w:r w:rsidR="007E72CD">
        <w:t xml:space="preserve">, </w:t>
      </w:r>
      <w:r w:rsidR="0069084F">
        <w:t xml:space="preserve">thus inflicting </w:t>
      </w:r>
      <w:r w:rsidR="009A5B39">
        <w:t xml:space="preserve">punishment </w:t>
      </w:r>
      <w:r w:rsidR="0069084F">
        <w:t xml:space="preserve">that was both </w:t>
      </w:r>
      <w:r w:rsidR="007E72CD">
        <w:t xml:space="preserve">certain </w:t>
      </w:r>
      <w:r w:rsidR="0069084F">
        <w:t xml:space="preserve">and </w:t>
      </w:r>
      <w:r w:rsidR="007E72CD">
        <w:t>severe</w:t>
      </w:r>
      <w:r w:rsidR="007714C4">
        <w:t xml:space="preserve"> but was, at the same time, private rather than public justice, which seems characteristic of Western vigilantism in this period (</w:t>
      </w:r>
      <w:r w:rsidR="00EB3725">
        <w:t>1771-1865)</w:t>
      </w:r>
      <w:r w:rsidR="007E72CD">
        <w:t>.</w:t>
      </w:r>
    </w:p>
    <w:p w:rsidR="00C0155D" w:rsidRDefault="007E72CD" w:rsidP="006C392B">
      <w:pPr>
        <w:spacing w:line="480" w:lineRule="auto"/>
        <w:ind w:firstLine="720"/>
      </w:pPr>
      <w:r>
        <w:t xml:space="preserve">Thus we might follow Hogan (1990), building on Franzosi et al. (forthcoming) </w:t>
      </w:r>
      <w:r w:rsidR="00C0155D">
        <w:t xml:space="preserve">to </w:t>
      </w:r>
      <w:r>
        <w:t xml:space="preserve">elaborate </w:t>
      </w:r>
      <w:r w:rsidR="00C0155D">
        <w:t xml:space="preserve">a </w:t>
      </w:r>
      <w:r>
        <w:t xml:space="preserve">classification of governing authorities, actions and events to distinguish the legalism of the People’s Court and the </w:t>
      </w:r>
      <w:r w:rsidR="00C0155D">
        <w:t xml:space="preserve">somewhat less formal but still legal and </w:t>
      </w:r>
      <w:r w:rsidR="004E60AD">
        <w:t xml:space="preserve">decidedly </w:t>
      </w:r>
      <w:r w:rsidR="00C0155D">
        <w:t xml:space="preserve">public </w:t>
      </w:r>
      <w:r>
        <w:t>justice</w:t>
      </w:r>
      <w:r w:rsidR="00C0155D">
        <w:t xml:space="preserve"> of the Vigilance Committee, in contrast to the actions of vigilantes, including lynching.</w:t>
      </w:r>
      <w:r w:rsidR="00C0155D">
        <w:rPr>
          <w:rStyle w:val="FootnoteReference"/>
        </w:rPr>
        <w:footnoteReference w:id="3"/>
      </w:r>
      <w:r w:rsidR="00C0155D">
        <w:t xml:space="preserve">  This seems adequate to disentangle the complex set of political actors, actions, and events of frontier Colorado, but t</w:t>
      </w:r>
      <w:r w:rsidR="00317CDE">
        <w:t xml:space="preserve">he definitional problems increase exponentially as we move across time and </w:t>
      </w:r>
      <w:r w:rsidR="00317CDE">
        <w:lastRenderedPageBreak/>
        <w:t>place.</w:t>
      </w:r>
      <w:r w:rsidR="00C8284A">
        <w:t xml:space="preserve">  Thus, rather than imposing this fairly narrow definition of vigilantism and lynching, let us proceed with a</w:t>
      </w:r>
      <w:r w:rsidR="004E60AD">
        <w:t>n</w:t>
      </w:r>
      <w:r w:rsidR="00C8284A">
        <w:t xml:space="preserve"> exploration of events that would qualify as lynching according to </w:t>
      </w:r>
      <w:proofErr w:type="spellStart"/>
      <w:r w:rsidR="00C8284A">
        <w:t>Tolnay</w:t>
      </w:r>
      <w:proofErr w:type="spellEnd"/>
      <w:r w:rsidR="00C8284A">
        <w:t xml:space="preserve"> and Beck (1995) but extend beyond the temporal and spatial limits of their data.</w:t>
      </w:r>
    </w:p>
    <w:p w:rsidR="004E60AD" w:rsidRDefault="004E60AD" w:rsidP="006C392B">
      <w:pPr>
        <w:spacing w:line="480" w:lineRule="auto"/>
        <w:ind w:firstLine="720"/>
      </w:pPr>
      <w:r>
        <w:t>For now, we can proceed inductively, accepting the definition</w:t>
      </w:r>
      <w:r w:rsidR="00287427">
        <w:t>s</w:t>
      </w:r>
      <w:r>
        <w:t xml:space="preserve"> and coding of lynching that our colleagues have provided </w:t>
      </w:r>
      <w:r w:rsidR="00287427">
        <w:t>to develop</w:t>
      </w:r>
      <w:r>
        <w:t xml:space="preserve"> a population </w:t>
      </w:r>
      <w:r w:rsidR="00287427">
        <w:t xml:space="preserve">(or biased sample) </w:t>
      </w:r>
      <w:r>
        <w:t xml:space="preserve">that we can evaluate as </w:t>
      </w:r>
      <w:r w:rsidR="00287427">
        <w:t xml:space="preserve">evidence that what we call “lynching” is </w:t>
      </w:r>
      <w:r>
        <w:t xml:space="preserve">highly variable across boundaries of </w:t>
      </w:r>
      <w:r w:rsidR="00287427">
        <w:t xml:space="preserve">time and </w:t>
      </w:r>
      <w:r>
        <w:t xml:space="preserve">place.  Having thus established variance we can return to our theory in order to suggest how we might </w:t>
      </w:r>
      <w:r w:rsidR="001E0EF2">
        <w:t>explain or interpret this</w:t>
      </w:r>
      <w:r>
        <w:t xml:space="preserve"> variance and how the concepts of vigilantism and lynching, as defined above, might help us in this effort.  First, however, lest we be accused of mindless empiricism, let us spend a little time with our colleagues who have provided data on lynching.  Then we can borrow some insights from </w:t>
      </w:r>
      <w:r w:rsidR="001E0EF2">
        <w:t xml:space="preserve">the </w:t>
      </w:r>
      <w:r>
        <w:t xml:space="preserve">Tilly </w:t>
      </w:r>
      <w:r w:rsidR="001E0EF2">
        <w:t xml:space="preserve">(1986) </w:t>
      </w:r>
      <w:r>
        <w:t xml:space="preserve">and </w:t>
      </w:r>
      <w:proofErr w:type="spellStart"/>
      <w:r>
        <w:t>Tarrow</w:t>
      </w:r>
      <w:proofErr w:type="spellEnd"/>
      <w:r>
        <w:t xml:space="preserve"> </w:t>
      </w:r>
      <w:r w:rsidR="001E0EF2">
        <w:t xml:space="preserve">(1994) conceptualizations of </w:t>
      </w:r>
      <w:r>
        <w:t>contentious g</w:t>
      </w:r>
      <w:r w:rsidR="001E0EF2">
        <w:t>athering</w:t>
      </w:r>
      <w:r>
        <w:t xml:space="preserve"> </w:t>
      </w:r>
      <w:r w:rsidR="001E0EF2">
        <w:t xml:space="preserve">repertoires </w:t>
      </w:r>
      <w:r>
        <w:t xml:space="preserve">to suggest a theory of vigilantism and lynching </w:t>
      </w:r>
      <w:r w:rsidR="001E0EF2">
        <w:t xml:space="preserve">as transitional forms of contention </w:t>
      </w:r>
      <w:r>
        <w:t>in the revolutionary era of repertoire change in the U.S.</w:t>
      </w:r>
      <w:r w:rsidR="001E0EF2">
        <w:t>, 1861-1945.</w:t>
      </w:r>
      <w:r w:rsidR="000C5971">
        <w:t xml:space="preserve">  First, however, we should pay some attention to our data.</w:t>
      </w:r>
    </w:p>
    <w:p w:rsidR="000C5971" w:rsidRDefault="000C5971" w:rsidP="00844638">
      <w:pPr>
        <w:spacing w:line="480" w:lineRule="auto"/>
      </w:pPr>
    </w:p>
    <w:p w:rsidR="000C5971" w:rsidRPr="00844638" w:rsidRDefault="000C5971" w:rsidP="00844638">
      <w:pPr>
        <w:spacing w:line="480" w:lineRule="auto"/>
        <w:rPr>
          <w:u w:val="single"/>
        </w:rPr>
      </w:pPr>
      <w:r w:rsidRPr="00844638">
        <w:rPr>
          <w:u w:val="single"/>
        </w:rPr>
        <w:t>Counting Lynching</w:t>
      </w:r>
      <w:r>
        <w:rPr>
          <w:u w:val="single"/>
        </w:rPr>
        <w:t xml:space="preserve"> Victims or Events</w:t>
      </w:r>
    </w:p>
    <w:p w:rsidR="00E12471" w:rsidRDefault="00E12471" w:rsidP="006C392B">
      <w:pPr>
        <w:spacing w:line="480" w:lineRule="auto"/>
        <w:ind w:firstLine="720"/>
      </w:pPr>
      <w:proofErr w:type="spellStart"/>
      <w:r>
        <w:t>Tolnay</w:t>
      </w:r>
      <w:proofErr w:type="spellEnd"/>
      <w:r>
        <w:t xml:space="preserve"> and Beck (1995, pp. 259-60) relied upon a </w:t>
      </w:r>
      <w:r w:rsidR="0069084F">
        <w:t>“‘</w:t>
      </w:r>
      <w:r>
        <w:t>maste</w:t>
      </w:r>
      <w:r w:rsidR="000C5971">
        <w:t>r list</w:t>
      </w:r>
      <w:r w:rsidR="0069084F">
        <w:t>’</w:t>
      </w:r>
      <w:r w:rsidR="000C5971">
        <w:t xml:space="preserve"> of unconfirmed lynching</w:t>
      </w:r>
      <w:r>
        <w:t xml:space="preserve"> </w:t>
      </w:r>
      <w:r w:rsidR="000C5971">
        <w:t xml:space="preserve">victimizations </w:t>
      </w:r>
      <w:r>
        <w:t xml:space="preserve">between 1882 and 1930” and used newspapers to confirm the occurrence of these events.  These are, of course, mostly Southern and frequently Klan events, but they have come to be seen as </w:t>
      </w:r>
      <w:r w:rsidR="001E0EF2">
        <w:t xml:space="preserve">representative of </w:t>
      </w:r>
      <w:r>
        <w:t xml:space="preserve">the essential lynching event.  </w:t>
      </w:r>
      <w:r w:rsidR="00260CFF">
        <w:t xml:space="preserve">Since we </w:t>
      </w:r>
      <w:r w:rsidR="00D20F91">
        <w:t>want to distinguish</w:t>
      </w:r>
      <w:r w:rsidR="00260CFF">
        <w:t xml:space="preserve"> events across time and place, </w:t>
      </w:r>
      <w:r>
        <w:t xml:space="preserve">we will consider “lynching” </w:t>
      </w:r>
      <w:r w:rsidR="00260CFF">
        <w:t xml:space="preserve">(as defined and coded by our colleagues) </w:t>
      </w:r>
      <w:r>
        <w:t xml:space="preserve">to date from roughly 1830-1930, including everything from the </w:t>
      </w:r>
      <w:r w:rsidR="001E0EF2">
        <w:t xml:space="preserve">Midwestern </w:t>
      </w:r>
      <w:r>
        <w:t xml:space="preserve">Farmers Anti-Horse </w:t>
      </w:r>
      <w:r>
        <w:lastRenderedPageBreak/>
        <w:t xml:space="preserve">Thieving executions to the vigilantism </w:t>
      </w:r>
      <w:r w:rsidR="00C8284A">
        <w:t xml:space="preserve">(and People’s Government) </w:t>
      </w:r>
      <w:r>
        <w:t xml:space="preserve">in frontier Colorado, </w:t>
      </w:r>
      <w:r w:rsidR="00C8284A">
        <w:t xml:space="preserve">from </w:t>
      </w:r>
      <w:r w:rsidR="001E0EF2">
        <w:t xml:space="preserve">antebellum Southern lynching in the border States to </w:t>
      </w:r>
      <w:r>
        <w:t xml:space="preserve">outrages against the Freedmen of Reconstruction Georgia, in 1868, </w:t>
      </w:r>
      <w:r w:rsidR="001E0EF2">
        <w:t>and</w:t>
      </w:r>
      <w:r w:rsidR="008F7179">
        <w:t xml:space="preserve"> including</w:t>
      </w:r>
      <w:r w:rsidR="001E0EF2">
        <w:t xml:space="preserve">, of course, </w:t>
      </w:r>
      <w:r>
        <w:t>the</w:t>
      </w:r>
      <w:r w:rsidR="00C8284A">
        <w:t xml:space="preserve"> garden-</w:t>
      </w:r>
      <w:r>
        <w:t xml:space="preserve">variety Klan lynching in Indiana </w:t>
      </w:r>
      <w:r w:rsidR="00260CFF">
        <w:t>and elsewhere outside the South</w:t>
      </w:r>
      <w:r>
        <w:t>, between 1882 and 1930.</w:t>
      </w:r>
      <w:r w:rsidR="00C8284A">
        <w:t xml:space="preserve">  </w:t>
      </w:r>
      <w:r w:rsidR="008F7179">
        <w:t xml:space="preserve">With these data we </w:t>
      </w:r>
      <w:r w:rsidR="00C8284A">
        <w:t xml:space="preserve">proceed inductively to generate a set of relevant distinctions associated with changes in the repertoire of contention between 1830 and 1930, </w:t>
      </w:r>
      <w:proofErr w:type="gramStart"/>
      <w:r w:rsidR="00C8284A">
        <w:t>North</w:t>
      </w:r>
      <w:proofErr w:type="gramEnd"/>
      <w:r w:rsidR="00C8284A">
        <w:t xml:space="preserve"> and South, East and West.</w:t>
      </w:r>
    </w:p>
    <w:p w:rsidR="00317CDE" w:rsidRDefault="00317CDE" w:rsidP="006C392B">
      <w:pPr>
        <w:spacing w:line="480" w:lineRule="auto"/>
        <w:ind w:firstLine="720"/>
      </w:pPr>
      <w:proofErr w:type="gramStart"/>
      <w:r>
        <w:t>Pfeifer  (</w:t>
      </w:r>
      <w:proofErr w:type="gramEnd"/>
      <w:r>
        <w:t xml:space="preserve">2011) documents lynching in the South as early as 1824.  Leonard (2002) identifies the Ute uprising of 1830 as a possible candidate but chooses to limit his sample to the first permanent white Anglo-American settlement, which limits the sample of lynching events to 1859-1919.   Pfeifer (forthcoming) includes one Non-Southern lynching from 1837 and a handful of events from the Eighteen Forties and Fifties.  Most of these events predate 1890, but there is Non-Southern lynching as late as 1943.  </w:t>
      </w:r>
    </w:p>
    <w:p w:rsidR="00317CDE" w:rsidRDefault="00317CDE" w:rsidP="00317CDE">
      <w:pPr>
        <w:spacing w:line="480" w:lineRule="auto"/>
        <w:ind w:firstLine="720"/>
      </w:pPr>
      <w:r>
        <w:t>Obviously, there were ebbs and flows.  Also</w:t>
      </w:r>
      <w:r w:rsidR="00260CFF">
        <w:t>,</w:t>
      </w:r>
      <w:r>
        <w:t xml:space="preserve"> in the more recent past, including the Civil Rights Movement and the current efforts of Neighborhood Watch groups and Mexican Border vigilante militias, we have groups staging events that seem to resemble either the classic Western vigilante gang or the classic Southern lynch mob.   The </w:t>
      </w:r>
      <w:r w:rsidR="008F7179">
        <w:t>ongoing</w:t>
      </w:r>
      <w:r>
        <w:t xml:space="preserve"> (</w:t>
      </w:r>
      <w:r w:rsidR="008F7179">
        <w:t>February 2013</w:t>
      </w:r>
      <w:r>
        <w:t>) controversy surrounding a Florida vigilante (allegedly Hispanic if not Latino) and his black victim (or assailant, if we believe the vigilante) is an excellent example of vigilantism without lynching.  In this case, only one perpetrator was involved on each side of the gun.</w:t>
      </w:r>
      <w:r w:rsidR="00C8284A">
        <w:rPr>
          <w:rStyle w:val="FootnoteReference"/>
        </w:rPr>
        <w:footnoteReference w:id="4"/>
      </w:r>
      <w:r w:rsidR="001E0EF2">
        <w:t xml:space="preserve">  Before we turn to our </w:t>
      </w:r>
      <w:r w:rsidR="001E0EF2">
        <w:lastRenderedPageBreak/>
        <w:t xml:space="preserve">empirical analysis, </w:t>
      </w:r>
      <w:r w:rsidR="008F7179">
        <w:t xml:space="preserve">however, </w:t>
      </w:r>
      <w:r w:rsidR="001E0EF2">
        <w:t>a few more words on the difference between lynching and vigilantism might be in order.</w:t>
      </w:r>
    </w:p>
    <w:p w:rsidR="000C5971" w:rsidRDefault="000C5971" w:rsidP="00844638">
      <w:pPr>
        <w:spacing w:line="480" w:lineRule="auto"/>
      </w:pPr>
    </w:p>
    <w:p w:rsidR="000C5971" w:rsidRPr="00844638" w:rsidRDefault="00D80221" w:rsidP="00844638">
      <w:pPr>
        <w:spacing w:line="480" w:lineRule="auto"/>
        <w:rPr>
          <w:u w:val="single"/>
        </w:rPr>
      </w:pPr>
      <w:r>
        <w:rPr>
          <w:u w:val="single"/>
        </w:rPr>
        <w:t xml:space="preserve">Western </w:t>
      </w:r>
      <w:r w:rsidR="000C5971">
        <w:rPr>
          <w:u w:val="single"/>
        </w:rPr>
        <w:t>Vig</w:t>
      </w:r>
      <w:r w:rsidR="008F7179">
        <w:rPr>
          <w:u w:val="single"/>
        </w:rPr>
        <w:t>i</w:t>
      </w:r>
      <w:r w:rsidR="000C5971">
        <w:rPr>
          <w:u w:val="single"/>
        </w:rPr>
        <w:t xml:space="preserve">lantism versus </w:t>
      </w:r>
      <w:r>
        <w:rPr>
          <w:u w:val="single"/>
        </w:rPr>
        <w:t xml:space="preserve">Southern </w:t>
      </w:r>
      <w:r w:rsidR="000C5971">
        <w:rPr>
          <w:u w:val="single"/>
        </w:rPr>
        <w:t>Lynching</w:t>
      </w:r>
      <w:r w:rsidR="001E0EF2">
        <w:rPr>
          <w:u w:val="single"/>
        </w:rPr>
        <w:t>: Ideal Types</w:t>
      </w:r>
    </w:p>
    <w:p w:rsidR="00317CDE" w:rsidRDefault="00E42D8F" w:rsidP="00317CDE">
      <w:pPr>
        <w:spacing w:line="480" w:lineRule="auto"/>
        <w:ind w:firstLine="720"/>
      </w:pPr>
      <w:r>
        <w:t>The distinction between vigilantism and lynching is important if not always easy to maintain, because w</w:t>
      </w:r>
      <w:r w:rsidR="00317CDE">
        <w:t xml:space="preserve">e tend to romanticize the vigilantes, even if we </w:t>
      </w:r>
      <w:r w:rsidR="000C5971">
        <w:t xml:space="preserve">usually </w:t>
      </w:r>
      <w:r w:rsidR="00317CDE">
        <w:t xml:space="preserve">do not condone their actions.  We tend to see the vigilante as a heroic figure, dispensing justice in an unjust world.  If the victims are mostly black men, well, the same could be said about death row (Allen, </w:t>
      </w:r>
      <w:proofErr w:type="spellStart"/>
      <w:r w:rsidR="00317CDE">
        <w:t>Clubb</w:t>
      </w:r>
      <w:proofErr w:type="spellEnd"/>
      <w:r w:rsidR="00317CDE">
        <w:t xml:space="preserve">, and Lacey 2008).  Unlike </w:t>
      </w:r>
      <w:r w:rsidR="00260CFF">
        <w:t xml:space="preserve">Southern </w:t>
      </w:r>
      <w:r w:rsidR="00317CDE">
        <w:t xml:space="preserve">lynching, which is barbaric, </w:t>
      </w:r>
      <w:r w:rsidR="00260CFF">
        <w:t xml:space="preserve">Western </w:t>
      </w:r>
      <w:r w:rsidR="00317CDE">
        <w:t xml:space="preserve">vigilantism is not so bad.  This is particularly true of the “People’s Court” of Denver in 1859, which, as we see in the opening quote (above), followed due process and was legalistic if not legal and perfectly capable of acquitting suspects when the evidence was less than compelling.  In fact, </w:t>
      </w:r>
      <w:r w:rsidR="000C5971">
        <w:t xml:space="preserve">if we follow Hogan (1990) and the definition of vigilantism offered above, neither the People’s Court nor the Denver Vigilance Committee lynched suspects.  In fact, </w:t>
      </w:r>
      <w:r w:rsidR="00317CDE">
        <w:t xml:space="preserve">it was the reluctance of the People’s Court </w:t>
      </w:r>
      <w:r>
        <w:t>to convict horse thieve</w:t>
      </w:r>
      <w:r w:rsidR="00317CDE">
        <w:t xml:space="preserve">s in frontier Colorado, that inspired </w:t>
      </w:r>
      <w:r>
        <w:t xml:space="preserve">the </w:t>
      </w:r>
      <w:r w:rsidR="00317CDE">
        <w:t xml:space="preserve">vigilantes and the Vigilance Committee that were organized in </w:t>
      </w:r>
      <w:r>
        <w:t xml:space="preserve">frontier </w:t>
      </w:r>
      <w:r w:rsidR="00317CDE">
        <w:t>Denver.</w:t>
      </w:r>
      <w:r w:rsidR="008F7179">
        <w:rPr>
          <w:rStyle w:val="FootnoteReference"/>
        </w:rPr>
        <w:footnoteReference w:id="5"/>
      </w:r>
    </w:p>
    <w:p w:rsidR="00A044C3" w:rsidRDefault="00260CFF" w:rsidP="00434935">
      <w:pPr>
        <w:spacing w:line="480" w:lineRule="auto"/>
        <w:ind w:firstLine="720"/>
      </w:pPr>
      <w:r>
        <w:t>W</w:t>
      </w:r>
      <w:r w:rsidR="008F7179">
        <w:t xml:space="preserve">e </w:t>
      </w:r>
      <w:r w:rsidR="00D80221">
        <w:t xml:space="preserve">need </w:t>
      </w:r>
      <w:r w:rsidR="008F7179">
        <w:t xml:space="preserve">to distinguish legalistic frontier authorities from vigilantism, if only to </w:t>
      </w:r>
      <w:r w:rsidR="007C3A1B">
        <w:t xml:space="preserve">avoid the </w:t>
      </w:r>
      <w:r w:rsidR="008F7179">
        <w:t xml:space="preserve">temptation </w:t>
      </w:r>
      <w:r w:rsidR="007C3A1B">
        <w:t xml:space="preserve">to judge the People’s Court and by extension the vigilantism of the Western frontier as somehow justified.  </w:t>
      </w:r>
      <w:r w:rsidR="00A044C3">
        <w:t>The fact that we tend to romanticize the Old West as a dangerous land of gu</w:t>
      </w:r>
      <w:r w:rsidR="0038542F">
        <w:t>nslingers and courageous law-abiding men</w:t>
      </w:r>
      <w:r w:rsidR="00A044C3">
        <w:t xml:space="preserve"> </w:t>
      </w:r>
      <w:r w:rsidR="00FA54E2">
        <w:t>like Wyatt Earp and Doc Holiday</w:t>
      </w:r>
      <w:r w:rsidR="00A044C3">
        <w:t xml:space="preserve"> contributes to the confusion</w:t>
      </w:r>
      <w:r w:rsidR="00823C2C">
        <w:t xml:space="preserve"> and allows us to forgive the vigilante</w:t>
      </w:r>
      <w:r w:rsidR="00A044C3">
        <w:t xml:space="preserve">.  Fortunately, we have Dykstra </w:t>
      </w:r>
      <w:r w:rsidR="0038542F">
        <w:t xml:space="preserve">(1968; 2009) </w:t>
      </w:r>
      <w:r w:rsidR="00A044C3">
        <w:lastRenderedPageBreak/>
        <w:t>defending established social science and historical scholarship, but his impact on our students is probably not as great as the influence of people who</w:t>
      </w:r>
      <w:r w:rsidR="00676AD2">
        <w:t xml:space="preserve"> </w:t>
      </w:r>
      <w:r w:rsidR="00CE6FB2">
        <w:t xml:space="preserve">manufacture </w:t>
      </w:r>
      <w:r w:rsidR="00A044C3">
        <w:t xml:space="preserve">postmodern </w:t>
      </w:r>
      <w:r w:rsidR="00CE6FB2">
        <w:t xml:space="preserve">nonsense </w:t>
      </w:r>
      <w:r w:rsidR="008B1A6A">
        <w:t>(</w:t>
      </w:r>
      <w:proofErr w:type="spellStart"/>
      <w:r w:rsidR="00676AD2">
        <w:t>Slatta</w:t>
      </w:r>
      <w:proofErr w:type="spellEnd"/>
      <w:r w:rsidR="00676AD2">
        <w:t xml:space="preserve"> 2010).  </w:t>
      </w:r>
      <w:r w:rsidR="00A044C3">
        <w:t xml:space="preserve">We can no longer support racism in the form of postmodernism (or Critical Race Theory, which is </w:t>
      </w:r>
      <w:r w:rsidR="008F7179">
        <w:t xml:space="preserve">all too often </w:t>
      </w:r>
      <w:r w:rsidR="00A044C3">
        <w:t xml:space="preserve">just another version of the same </w:t>
      </w:r>
      <w:r w:rsidR="00676AD2">
        <w:t>thing</w:t>
      </w:r>
      <w:r w:rsidR="00A044C3">
        <w:t xml:space="preserve">). </w:t>
      </w:r>
    </w:p>
    <w:p w:rsidR="00823C2C" w:rsidRDefault="00A044C3" w:rsidP="00FD2391">
      <w:pPr>
        <w:spacing w:line="480" w:lineRule="auto"/>
        <w:ind w:firstLine="720"/>
      </w:pPr>
      <w:r>
        <w:t>We need empirical evidence</w:t>
      </w:r>
      <w:r w:rsidR="008F7179">
        <w:t>,</w:t>
      </w:r>
      <w:r>
        <w:t xml:space="preserve"> analyzed by competent persons</w:t>
      </w:r>
      <w:r w:rsidR="008F7179">
        <w:t>,</w:t>
      </w:r>
      <w:r>
        <w:t xml:space="preserve"> who understand that reality is socially constructed, but the material world is still rooted in social relations that mark the </w:t>
      </w:r>
      <w:r w:rsidR="00FA2EAF">
        <w:t xml:space="preserve">life-course </w:t>
      </w:r>
      <w:r>
        <w:t>transition</w:t>
      </w:r>
      <w:r w:rsidR="00FA2EAF">
        <w:t>s</w:t>
      </w:r>
      <w:r>
        <w:t xml:space="preserve"> from birth to death.  The fact that race and gender are socially constructed does not m</w:t>
      </w:r>
      <w:r w:rsidR="00823C2C">
        <w:t xml:space="preserve">itigate the effects of proclaiming </w:t>
      </w:r>
      <w:r>
        <w:t xml:space="preserve">the newborn white or black, male or female.  The fact that the </w:t>
      </w:r>
      <w:r w:rsidR="00823C2C">
        <w:t xml:space="preserve">alleged </w:t>
      </w:r>
      <w:r>
        <w:t>victim was a black man</w:t>
      </w:r>
      <w:r w:rsidR="00676AD2">
        <w:t>,</w:t>
      </w:r>
      <w:r>
        <w:t xml:space="preserve"> who appeared out of place in the gated community of </w:t>
      </w:r>
      <w:r w:rsidR="00823C2C">
        <w:t>Florida</w:t>
      </w:r>
      <w:r w:rsidR="0011421C">
        <w:t>,</w:t>
      </w:r>
      <w:r w:rsidR="00823C2C">
        <w:t xml:space="preserve"> in </w:t>
      </w:r>
      <w:r>
        <w:t>2012</w:t>
      </w:r>
      <w:r w:rsidR="0011421C">
        <w:t>,</w:t>
      </w:r>
      <w:r>
        <w:t xml:space="preserve"> or </w:t>
      </w:r>
      <w:r w:rsidR="00FA2EAF">
        <w:t>i</w:t>
      </w:r>
      <w:r>
        <w:t xml:space="preserve">n Indiana </w:t>
      </w:r>
      <w:r w:rsidR="00BB60A1">
        <w:t>farm belt</w:t>
      </w:r>
      <w:r w:rsidR="0011421C">
        <w:t>,</w:t>
      </w:r>
      <w:r w:rsidR="00BB60A1">
        <w:t xml:space="preserve"> </w:t>
      </w:r>
      <w:r w:rsidR="00D20F91">
        <w:t xml:space="preserve">in </w:t>
      </w:r>
      <w:r>
        <w:t>1872</w:t>
      </w:r>
      <w:r w:rsidR="00FA2EAF">
        <w:t>,</w:t>
      </w:r>
      <w:r>
        <w:t xml:space="preserve"> matters more than the word we use to describe his untimely death.  Should we tell his family that black is just a color, a meaningless word in our post</w:t>
      </w:r>
      <w:r w:rsidR="00823C2C">
        <w:t>-</w:t>
      </w:r>
      <w:r>
        <w:t xml:space="preserve">racial society?  </w:t>
      </w:r>
      <w:r w:rsidR="00823C2C">
        <w:t>Does anyone really believe that?</w:t>
      </w:r>
    </w:p>
    <w:p w:rsidR="00D80221" w:rsidRDefault="00823C2C" w:rsidP="00295A0A">
      <w:pPr>
        <w:spacing w:line="480" w:lineRule="auto"/>
        <w:ind w:firstLine="720"/>
      </w:pPr>
      <w:r>
        <w:t>What I believe is that self-serving liberals and conservative</w:t>
      </w:r>
      <w:r w:rsidR="00FA2EAF">
        <w:t>s</w:t>
      </w:r>
      <w:r>
        <w:t xml:space="preserve"> continue to romanticize the Old West to legitimate lynching as vigilantism.  </w:t>
      </w:r>
      <w:r w:rsidR="00260CFF">
        <w:t>This was</w:t>
      </w:r>
      <w:r w:rsidR="00125D4C">
        <w:t>, as we shall see,</w:t>
      </w:r>
      <w:r w:rsidR="00260CFF">
        <w:t xml:space="preserve"> the tack followed by Southern </w:t>
      </w:r>
      <w:r w:rsidR="00125D4C">
        <w:t xml:space="preserve">Democrats who defended the Klan and the Outrages committed against the Freedmen during Reconstruction.  </w:t>
      </w:r>
      <w:r w:rsidR="00F57DEE">
        <w:t>This interpretation of racial terrorism was sustained by the early apologist schools of Southern history</w:t>
      </w:r>
      <w:r w:rsidR="00D20F91">
        <w:t xml:space="preserve"> (Dunning </w:t>
      </w:r>
      <w:r w:rsidR="00D80221">
        <w:t>1962 [</w:t>
      </w:r>
      <w:r w:rsidR="007B2A32">
        <w:t>1935</w:t>
      </w:r>
      <w:r w:rsidR="00D80221">
        <w:t>]</w:t>
      </w:r>
      <w:r w:rsidR="00D20F91">
        <w:t>)</w:t>
      </w:r>
      <w:r w:rsidR="00F57DEE">
        <w:t>, which ignored the work of Du Bois (</w:t>
      </w:r>
      <w:r w:rsidR="00D80221">
        <w:t>1998 [</w:t>
      </w:r>
      <w:r w:rsidR="00F57DEE">
        <w:t>1935</w:t>
      </w:r>
      <w:r w:rsidR="00D80221">
        <w:t>]</w:t>
      </w:r>
      <w:r w:rsidR="00F57DEE">
        <w:t>) and other critical voices until the Civil Rights Movements of the mid-twentieth century made revisionist history possible</w:t>
      </w:r>
      <w:r w:rsidR="00D20F91">
        <w:t xml:space="preserve"> (</w:t>
      </w:r>
      <w:proofErr w:type="spellStart"/>
      <w:r w:rsidR="007B2A32">
        <w:t>Degler</w:t>
      </w:r>
      <w:proofErr w:type="spellEnd"/>
      <w:r w:rsidR="007B2A32">
        <w:t xml:space="preserve"> 1981; </w:t>
      </w:r>
      <w:proofErr w:type="spellStart"/>
      <w:r w:rsidR="00D20F91">
        <w:t>Foner</w:t>
      </w:r>
      <w:proofErr w:type="spellEnd"/>
      <w:r w:rsidR="00D20F91">
        <w:t xml:space="preserve"> 1973)</w:t>
      </w:r>
      <w:r w:rsidR="00F57DEE">
        <w:t xml:space="preserve">.  </w:t>
      </w:r>
    </w:p>
    <w:p w:rsidR="00D80221" w:rsidRDefault="00125D4C" w:rsidP="00295A0A">
      <w:pPr>
        <w:spacing w:line="480" w:lineRule="auto"/>
        <w:ind w:firstLine="720"/>
      </w:pPr>
      <w:r>
        <w:t xml:space="preserve">Looking backward, we can distinguish Western vigilantism and Southern lynching, first and foremost, by the treatment of the victim and his characterization in the mass media.  The white men who were hanged by Western vigilantes were allegedly bad men, but they were not </w:t>
      </w:r>
      <w:r>
        <w:lastRenderedPageBreak/>
        <w:t xml:space="preserve">fiends or devils or beasts who were not entitled to respect or human dignity.  The victims of Southern lynching were black men who were not considered to be human or worthy of human dignity.  Consequently, they were not simply hanged and left as a grim reminder that crime does not pay.  They were the </w:t>
      </w:r>
      <w:r w:rsidR="0011421C">
        <w:t xml:space="preserve">victims </w:t>
      </w:r>
      <w:r>
        <w:t>of a gruesome, primitive cult of true believers, who tortured their victims but also saved souvenirs, like the relics of the saints that Roman Catholics preserved in their sanctuaries.</w:t>
      </w:r>
      <w:r w:rsidR="00D242F4">
        <w:t xml:space="preserve">  </w:t>
      </w:r>
    </w:p>
    <w:p w:rsidR="00BB60A1" w:rsidRDefault="00D242F4" w:rsidP="00295A0A">
      <w:pPr>
        <w:spacing w:line="480" w:lineRule="auto"/>
        <w:ind w:firstLine="720"/>
      </w:pPr>
      <w:r>
        <w:t xml:space="preserve">Western vigilantism and Southern lynching were qualitatively different types of contentious gatherings, although, as we shall see, both changed overtime.  Southern lynching came to resemble Western vigilantism as Abolitionists and their Northern sympathizers became increasingly critical of the barbarism of Southern slavery.  </w:t>
      </w:r>
      <w:r w:rsidR="00BB60A1">
        <w:t>In this regard, we see change at the margin of the lynching repertoire in response to the threat of Northern and federal opposition to the extension of slavery and the spillover</w:t>
      </w:r>
      <w:r w:rsidR="00F61C03">
        <w:t xml:space="preserve"> effects of Southern barbarism, </w:t>
      </w:r>
      <w:r w:rsidR="00BB60A1">
        <w:t>notably, the slave trade in the nation’s capital and the pursuit of escaped slaves into the North.</w:t>
      </w:r>
    </w:p>
    <w:p w:rsidR="00BB60A1" w:rsidRDefault="00D242F4" w:rsidP="00295A0A">
      <w:pPr>
        <w:spacing w:line="480" w:lineRule="auto"/>
        <w:ind w:firstLine="720"/>
      </w:pPr>
      <w:r>
        <w:t>T</w:t>
      </w:r>
      <w:r w:rsidR="00D80221">
        <w:t>hen</w:t>
      </w:r>
      <w:r>
        <w:t xml:space="preserve">, during Reconstruction, which was the heyday of Western lynching, the </w:t>
      </w:r>
      <w:r w:rsidR="00BB60A1">
        <w:t xml:space="preserve">repertoire of racial terrorism </w:t>
      </w:r>
      <w:r>
        <w:t xml:space="preserve">changed again, as plantation discipline and borderland lynching faced the challenge of accommodating the political threats of Freedmen partisanship.  Although there were some who favored a return to traditional </w:t>
      </w:r>
      <w:r w:rsidR="00F61C03">
        <w:t xml:space="preserve">antebellum </w:t>
      </w:r>
      <w:r>
        <w:t xml:space="preserve">lynching, </w:t>
      </w:r>
      <w:r w:rsidR="00BB60A1">
        <w:t xml:space="preserve">most Southerners recognized that a return to barbarism would prolong Reconstruction.  Thus </w:t>
      </w:r>
      <w:r>
        <w:t xml:space="preserve">symbolic </w:t>
      </w:r>
      <w:r w:rsidR="00BB60A1">
        <w:t xml:space="preserve">violence </w:t>
      </w:r>
      <w:r>
        <w:t xml:space="preserve">or </w:t>
      </w:r>
      <w:r w:rsidR="00BB60A1">
        <w:t xml:space="preserve">the </w:t>
      </w:r>
      <w:r>
        <w:t>terrorist threat of violence, the preferred tactic of the emerging Klan</w:t>
      </w:r>
      <w:r w:rsidR="00BB60A1">
        <w:t>,</w:t>
      </w:r>
      <w:r>
        <w:t xml:space="preserve"> </w:t>
      </w:r>
      <w:r w:rsidR="00D80221">
        <w:t xml:space="preserve">became </w:t>
      </w:r>
      <w:r>
        <w:t>predominant</w:t>
      </w:r>
      <w:r w:rsidR="00BB60A1">
        <w:t xml:space="preserve"> during Reconstruction, primarily as a means of disenfranchising Freedmen and intimidating Republicans</w:t>
      </w:r>
      <w:r>
        <w:t xml:space="preserve">.  </w:t>
      </w:r>
    </w:p>
    <w:p w:rsidR="00F61C03" w:rsidRDefault="00D242F4" w:rsidP="00295A0A">
      <w:pPr>
        <w:spacing w:line="480" w:lineRule="auto"/>
        <w:ind w:firstLine="720"/>
      </w:pPr>
      <w:r>
        <w:lastRenderedPageBreak/>
        <w:t>The return to Southern lynching as public spectacles of torture</w:t>
      </w:r>
      <w:r w:rsidR="00F61C03">
        <w:t xml:space="preserve"> and humiliation</w:t>
      </w:r>
      <w:r>
        <w:t>, with the addition of the costumed perpetrators and the public displays of private justice, far exceeded the old vigilante tradition</w:t>
      </w:r>
      <w:r w:rsidR="00BB60A1">
        <w:t xml:space="preserve">, or even the antebellum lynching repertoire.  </w:t>
      </w:r>
      <w:r w:rsidR="00D432A8">
        <w:t xml:space="preserve">This </w:t>
      </w:r>
      <w:r>
        <w:t>was</w:t>
      </w:r>
      <w:r w:rsidR="00D432A8">
        <w:t>, however,</w:t>
      </w:r>
      <w:r>
        <w:t xml:space="preserve"> the hallmark of the new form of old fashioned contentious gatherings: the lynching of 1882-1930.</w:t>
      </w:r>
      <w:r w:rsidR="00D432A8">
        <w:t xml:space="preserve">  Again we see innovation at the margin of familiar repertoires in response</w:t>
      </w:r>
      <w:r w:rsidR="00F61C03">
        <w:t>, in this case,</w:t>
      </w:r>
      <w:r w:rsidR="00D432A8">
        <w:t xml:space="preserve"> to the threat of Populism and the enduring threat </w:t>
      </w:r>
      <w:r w:rsidR="00F61C03">
        <w:t xml:space="preserve">of </w:t>
      </w:r>
      <w:r w:rsidR="00D432A8">
        <w:t>Progressive causes, most notably women’s suffrage, anti-monopoly, social welfare, labor</w:t>
      </w:r>
      <w:r w:rsidR="00F61C03">
        <w:t>,</w:t>
      </w:r>
      <w:r w:rsidR="00D432A8">
        <w:t xml:space="preserve"> and temperance movements, notwithstanding the obvious barriers to cooperation between these Progressive movements.  </w:t>
      </w:r>
    </w:p>
    <w:p w:rsidR="00C760C5" w:rsidRDefault="00D432A8" w:rsidP="00C760C5">
      <w:pPr>
        <w:spacing w:line="480" w:lineRule="auto"/>
        <w:ind w:firstLine="720"/>
      </w:pPr>
      <w:r>
        <w:t>The lynching festivals sponsored by the Klan, par</w:t>
      </w:r>
      <w:r w:rsidR="009462DA">
        <w:t>ticularly in the South, coupled</w:t>
      </w:r>
      <w:r>
        <w:t xml:space="preserve"> with legal</w:t>
      </w:r>
      <w:r w:rsidR="00F61C03">
        <w:t>,</w:t>
      </w:r>
      <w:r>
        <w:t xml:space="preserve"> if bordering on barbaric</w:t>
      </w:r>
      <w:r w:rsidR="00F61C03">
        <w:t>,</w:t>
      </w:r>
      <w:r>
        <w:t xml:space="preserve"> public executions, particularly in the West, were a prophylactic measure against radicalism, be it anarchy, socialism, or civil rights.  </w:t>
      </w:r>
      <w:r w:rsidR="00F61C03">
        <w:t>Here the terror of openly</w:t>
      </w:r>
      <w:r>
        <w:t xml:space="preserve"> defying established authorities—much like the vigilantes of old, to administer private justice in public, albeit in disguise</w:t>
      </w:r>
      <w:r w:rsidR="00F61C03">
        <w:t>, made the Klan appear to be all-powerful, particularly as it was tolerated by Republican governments that were equally inclined to ignore the terrorist tactics of Pinkerton and other private police used to massacre unruly workers, particularly in the West.  The public defense of private justice as instrumental (strike-brea</w:t>
      </w:r>
      <w:r w:rsidR="0039112A">
        <w:t>king) and symbolic (Klan rally</w:t>
      </w:r>
      <w:r w:rsidR="00F61C03">
        <w:t xml:space="preserve">) terrorist techniques mark the path of the Progressive Republican efforts to survive the threat of multiple challengers by repressing the radicals, facilitating liberal and conservative efforts, </w:t>
      </w:r>
      <w:r w:rsidR="0039112A">
        <w:t xml:space="preserve">and </w:t>
      </w:r>
      <w:r w:rsidR="00F61C03">
        <w:t>tolerating reactionaries, including the Klan.</w:t>
      </w:r>
    </w:p>
    <w:p w:rsidR="00295A0A" w:rsidRDefault="00823C2C" w:rsidP="00C760C5">
      <w:pPr>
        <w:spacing w:line="480" w:lineRule="auto"/>
        <w:ind w:firstLine="720"/>
      </w:pPr>
      <w:r>
        <w:lastRenderedPageBreak/>
        <w:t xml:space="preserve">We need to </w:t>
      </w:r>
      <w:r w:rsidR="00125D4C">
        <w:t xml:space="preserve">follow the lead of </w:t>
      </w:r>
      <w:r w:rsidR="00D80221">
        <w:t>revisionist Southern historians</w:t>
      </w:r>
      <w:r w:rsidR="00125D4C">
        <w:t xml:space="preserve"> and </w:t>
      </w:r>
      <w:r>
        <w:t xml:space="preserve">take the lead in rewriting Western </w:t>
      </w:r>
      <w:r w:rsidR="00125D4C">
        <w:t xml:space="preserve">as well as </w:t>
      </w:r>
      <w:r>
        <w:t>Southern history</w:t>
      </w:r>
      <w:r w:rsidR="00290FCD">
        <w:t>.</w:t>
      </w:r>
      <w:r w:rsidR="00C760C5">
        <w:rPr>
          <w:rStyle w:val="FootnoteReference"/>
        </w:rPr>
        <w:footnoteReference w:id="6"/>
      </w:r>
      <w:r w:rsidR="00290FCD">
        <w:t xml:space="preserve">  Aside from the critical difference in both public and private treatment of their victims, Western frontier authorities, including those we consider vigilantes, routinely defended class interests, while status (gender, race and ethnic) interests generally motivated Southern lynching</w:t>
      </w:r>
      <w:r w:rsidR="0039112A">
        <w:t>.</w:t>
      </w:r>
      <w:r w:rsidR="00290FCD">
        <w:t xml:space="preserve">  Both, of course, were politically motivated, but there is a tendency to find distinct class or status interests motivating partisanship.</w:t>
      </w:r>
      <w:r w:rsidR="0028266D">
        <w:rPr>
          <w:rStyle w:val="FootnoteReference"/>
        </w:rPr>
        <w:footnoteReference w:id="7"/>
      </w:r>
      <w:r w:rsidR="00290FCD">
        <w:t xml:space="preserve">  Most </w:t>
      </w:r>
      <w:r w:rsidR="0039112A">
        <w:t xml:space="preserve">Western </w:t>
      </w:r>
      <w:r w:rsidR="00A2199D">
        <w:t xml:space="preserve">frontier contention is in defense of class interest.  </w:t>
      </w:r>
      <w:r>
        <w:t>The only difference</w:t>
      </w:r>
      <w:r w:rsidR="00A2199D">
        <w:t>, in this regard,</w:t>
      </w:r>
      <w:r>
        <w:t xml:space="preserve"> between the Arap</w:t>
      </w:r>
      <w:r w:rsidR="00295A0A">
        <w:t>a</w:t>
      </w:r>
      <w:r>
        <w:t xml:space="preserve">hoe County land claim club and the gang who lynched the </w:t>
      </w:r>
      <w:r w:rsidR="00295A0A">
        <w:t>city council man</w:t>
      </w:r>
      <w:r w:rsidR="0073161F">
        <w:t xml:space="preserve">, both </w:t>
      </w:r>
      <w:r w:rsidR="00295A0A">
        <w:t xml:space="preserve"> in 1860 Denver</w:t>
      </w:r>
      <w:r w:rsidR="0073161F">
        <w:t>,</w:t>
      </w:r>
      <w:r w:rsidR="00295A0A">
        <w:t xml:space="preserve"> is that the former were using illegal but formal/bureaucratic procedures to defend property rights, while the later just killed people. </w:t>
      </w:r>
    </w:p>
    <w:p w:rsidR="00295A0A" w:rsidRDefault="00A2199D" w:rsidP="00295A0A">
      <w:pPr>
        <w:spacing w:line="480" w:lineRule="auto"/>
        <w:ind w:firstLine="720"/>
      </w:pPr>
      <w:r>
        <w:t xml:space="preserve">Alternatively, Leonard (2002) implies </w:t>
      </w:r>
      <w:r w:rsidR="00295A0A">
        <w:t>that the People’s Court and the vigilantes were the same people or served the same function.  We know that the former was run by lawyers (including the city council man hanged by the vigilantes</w:t>
      </w:r>
      <w:r w:rsidR="004452D9">
        <w:t xml:space="preserve"> as a horse thief</w:t>
      </w:r>
      <w:r w:rsidR="00295A0A">
        <w:t xml:space="preserve">) while the vigilantes were probably led by the local blacksmith—the only local booster who could actually shoot straight and thereby effectively dismount a fleeing desperado.  We also know that the People’s Court specialized in hanging convicted murders, unless the victim was black or the perpetrator a local business owner.  Had the People’s Court been willing to fight municipal corruption and crimes against property there never </w:t>
      </w:r>
      <w:r>
        <w:t xml:space="preserve">would </w:t>
      </w:r>
      <w:r w:rsidR="00295A0A">
        <w:t>have been a Vigil</w:t>
      </w:r>
      <w:r w:rsidR="00985C7A">
        <w:t>ance Committee or vigilante gangs in 1860</w:t>
      </w:r>
      <w:r w:rsidR="00295A0A">
        <w:t xml:space="preserve">.  The miners’ courts were obviously </w:t>
      </w:r>
      <w:r>
        <w:t>ad</w:t>
      </w:r>
      <w:r w:rsidR="00295A0A">
        <w:t>equate in this regard, at least between 1859 and 1861 (Hogan 1990).</w:t>
      </w:r>
      <w:r>
        <w:t xml:space="preserve"> </w:t>
      </w:r>
    </w:p>
    <w:p w:rsidR="000F47B0" w:rsidRDefault="000F47B0" w:rsidP="000F47B0">
      <w:pPr>
        <w:spacing w:line="480" w:lineRule="auto"/>
        <w:ind w:firstLine="720"/>
      </w:pPr>
      <w:r>
        <w:lastRenderedPageBreak/>
        <w:t>Clearly, we need to distinguish interests, actors, and actions and locate these not only within time and place but also within waves of political contention, challenges and challengers, revolutions</w:t>
      </w:r>
      <w:r w:rsidR="0039112A">
        <w:t>,</w:t>
      </w:r>
      <w:r>
        <w:t xml:space="preserve"> and changes in repertoire.  Both vigilantism and lynching were part of the “old” repertoire of patronized, local contention, such as food-riots or the tar and feathering of tax collectors (see Tilly 1986).  With a little imagination, we can see how Figure 1 offers a U. S. case for comparison to Tilly’s analyses of France (1986) and Great Britain (1995).   The Civil War was the structural equivalent of the French Revolution of 1789 and, as in France, the revolutionary struggle continued through the long nineteenth century, with the U.S. finally emerging as a global hegemonic republican capitalist political economy in 1945.</w:t>
      </w:r>
    </w:p>
    <w:p w:rsidR="004452D9" w:rsidRDefault="004452D9" w:rsidP="004452D9">
      <w:pPr>
        <w:pStyle w:val="Caption"/>
        <w:keepNext/>
        <w:jc w:val="center"/>
      </w:pPr>
      <w:r>
        <w:t xml:space="preserve">Figure </w:t>
      </w:r>
      <w:r w:rsidR="00862519">
        <w:fldChar w:fldCharType="begin"/>
      </w:r>
      <w:r w:rsidR="00862519">
        <w:instrText xml:space="preserve"> SEQ Figure \* ARABIC </w:instrText>
      </w:r>
      <w:r w:rsidR="00862519">
        <w:fldChar w:fldCharType="separate"/>
      </w:r>
      <w:r w:rsidR="00445D0A">
        <w:rPr>
          <w:noProof/>
        </w:rPr>
        <w:t>1</w:t>
      </w:r>
      <w:r w:rsidR="00862519">
        <w:rPr>
          <w:noProof/>
        </w:rPr>
        <w:fldChar w:fldCharType="end"/>
      </w:r>
    </w:p>
    <w:p w:rsidR="004452D9" w:rsidRDefault="004452D9" w:rsidP="004452D9">
      <w:pPr>
        <w:spacing w:line="480" w:lineRule="auto"/>
        <w:jc w:val="center"/>
      </w:pPr>
      <w:r w:rsidRPr="00D74920">
        <w:rPr>
          <w:noProof/>
        </w:rPr>
        <w:drawing>
          <wp:inline distT="0" distB="0" distL="0" distR="0" wp14:anchorId="25812E6A" wp14:editId="67DE6D1A">
            <wp:extent cx="4572000" cy="3476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72000" cy="3476625"/>
                    </a:xfrm>
                    <a:prstGeom prst="rect">
                      <a:avLst/>
                    </a:prstGeom>
                  </pic:spPr>
                </pic:pic>
              </a:graphicData>
            </a:graphic>
          </wp:inline>
        </w:drawing>
      </w:r>
    </w:p>
    <w:p w:rsidR="0028266D" w:rsidRDefault="0028266D" w:rsidP="0028266D">
      <w:pPr>
        <w:spacing w:line="480" w:lineRule="auto"/>
      </w:pPr>
      <w:r>
        <w:tab/>
        <w:t xml:space="preserve">Although vigilantism and lynching are both local events, they are decidedly less patronized than the Boston Tea Party.  They are, however, part of the old repertoire of </w:t>
      </w:r>
      <w:r>
        <w:lastRenderedPageBreak/>
        <w:t xml:space="preserve">contention.  As </w:t>
      </w:r>
      <w:proofErr w:type="spellStart"/>
      <w:r>
        <w:t>Tarrow</w:t>
      </w:r>
      <w:proofErr w:type="spellEnd"/>
      <w:r>
        <w:t xml:space="preserve"> (1994) would argue, they are direct action that is specific in its application to a particular issue or challenge, be it criminal justice or racial supremacy.  Unlike the meeting, rally, march, or demonstration that might be applicable to a variety of occasions and is always at best an indirect means to an end, vigilantism and lynching are direct, specific, patronized, and local—the defining characteristics of the old repertoire of contention. </w:t>
      </w:r>
    </w:p>
    <w:p w:rsidR="00B72CF9" w:rsidRDefault="00C21B57" w:rsidP="00844638">
      <w:pPr>
        <w:spacing w:line="480" w:lineRule="auto"/>
        <w:ind w:firstLine="720"/>
      </w:pPr>
      <w:r>
        <w:t xml:space="preserve">Thus </w:t>
      </w:r>
      <w:r w:rsidR="00913A67">
        <w:t>we should expect to find both in the pre-revolutionary era</w:t>
      </w:r>
      <w:r w:rsidR="007B42AA">
        <w:t>,</w:t>
      </w:r>
      <w:r w:rsidR="00913A67">
        <w:t xml:space="preserve"> or in the transitional period, prior to the institutionalization of the new repertoire.  O</w:t>
      </w:r>
      <w:r w:rsidR="007B42AA">
        <w:t>f course, the U.S. lags be</w:t>
      </w:r>
      <w:r w:rsidR="00913A67">
        <w:t xml:space="preserve">hind Great Britain and even France.  </w:t>
      </w:r>
      <w:r w:rsidR="00F92976">
        <w:t>Tilly’s (1986) periodization</w:t>
      </w:r>
      <w:r>
        <w:t>,</w:t>
      </w:r>
      <w:r w:rsidR="00F92976">
        <w:t xml:space="preserve"> appl</w:t>
      </w:r>
      <w:r w:rsidR="009D6382">
        <w:t>ied to the U. S.</w:t>
      </w:r>
      <w:r>
        <w:t xml:space="preserve">, </w:t>
      </w:r>
      <w:r w:rsidR="009D6382">
        <w:t>yields Figure 2</w:t>
      </w:r>
      <w:r w:rsidR="00F92976">
        <w:t>.</w:t>
      </w:r>
    </w:p>
    <w:p w:rsidR="0071488D" w:rsidRDefault="0071488D" w:rsidP="00F92976">
      <w:pPr>
        <w:ind w:firstLine="720"/>
      </w:pPr>
    </w:p>
    <w:p w:rsidR="007B42AA" w:rsidRDefault="007B42AA" w:rsidP="00F92976">
      <w:pPr>
        <w:ind w:firstLine="720"/>
      </w:pPr>
    </w:p>
    <w:p w:rsidR="0071488D" w:rsidRPr="00EB1A16" w:rsidRDefault="00C21B57" w:rsidP="0071488D">
      <w:pPr>
        <w:jc w:val="center"/>
        <w:rPr>
          <w:b/>
        </w:rPr>
      </w:pPr>
      <w:r>
        <w:rPr>
          <w:b/>
        </w:rPr>
        <w:t>Figure 2</w:t>
      </w:r>
    </w:p>
    <w:p w:rsidR="0071488D" w:rsidRDefault="0071488D" w:rsidP="0071488D">
      <w:pPr>
        <w:spacing w:line="480" w:lineRule="auto"/>
        <w:jc w:val="center"/>
        <w:rPr>
          <w:b/>
        </w:rPr>
      </w:pPr>
      <w:r w:rsidRPr="00EB1A16">
        <w:rPr>
          <w:b/>
        </w:rPr>
        <w:t xml:space="preserve">Social Change </w:t>
      </w:r>
      <w:r>
        <w:rPr>
          <w:b/>
        </w:rPr>
        <w:t>in the U.S., 1620-1945</w:t>
      </w:r>
    </w:p>
    <w:p w:rsidR="0071488D" w:rsidRDefault="00190A86" w:rsidP="00190A86">
      <w:pPr>
        <w:pBdr>
          <w:top w:val="single" w:sz="4" w:space="1" w:color="auto"/>
        </w:pBdr>
        <w:tabs>
          <w:tab w:val="left" w:pos="2880"/>
        </w:tabs>
      </w:pPr>
      <w:r>
        <w:tab/>
      </w:r>
      <w:r w:rsidR="0071488D">
        <w:t>Colonial America: 1620-1765</w:t>
      </w:r>
    </w:p>
    <w:p w:rsidR="0071488D" w:rsidRDefault="0071488D" w:rsidP="00190A86">
      <w:pPr>
        <w:tabs>
          <w:tab w:val="left" w:pos="2880"/>
        </w:tabs>
      </w:pPr>
    </w:p>
    <w:p w:rsidR="0071488D" w:rsidRDefault="00190A86" w:rsidP="00190A86">
      <w:pPr>
        <w:tabs>
          <w:tab w:val="left" w:pos="2880"/>
        </w:tabs>
      </w:pPr>
      <w:r>
        <w:tab/>
      </w:r>
      <w:r w:rsidR="0071488D">
        <w:t>Colonial Revolt: 1765-1815</w:t>
      </w:r>
    </w:p>
    <w:p w:rsidR="0071488D" w:rsidRDefault="0071488D" w:rsidP="00190A86">
      <w:pPr>
        <w:tabs>
          <w:tab w:val="left" w:pos="2880"/>
        </w:tabs>
      </w:pPr>
      <w:r>
        <w:tab/>
      </w:r>
    </w:p>
    <w:p w:rsidR="0071488D" w:rsidRDefault="00190A86" w:rsidP="00190A86">
      <w:pPr>
        <w:tabs>
          <w:tab w:val="left" w:pos="2880"/>
        </w:tabs>
      </w:pPr>
      <w:r>
        <w:tab/>
      </w:r>
      <w:r w:rsidR="0071488D">
        <w:t>National Period: 1815-1861</w:t>
      </w:r>
    </w:p>
    <w:p w:rsidR="0071488D" w:rsidRDefault="0071488D" w:rsidP="00190A86">
      <w:pPr>
        <w:pBdr>
          <w:bottom w:val="single" w:sz="4" w:space="1" w:color="auto"/>
        </w:pBdr>
        <w:tabs>
          <w:tab w:val="left" w:pos="2880"/>
        </w:tabs>
      </w:pPr>
    </w:p>
    <w:p w:rsidR="0071488D" w:rsidRDefault="00190A86" w:rsidP="00190A86">
      <w:pPr>
        <w:pBdr>
          <w:bottom w:val="single" w:sz="4" w:space="1" w:color="auto"/>
        </w:pBdr>
        <w:tabs>
          <w:tab w:val="left" w:pos="2880"/>
        </w:tabs>
      </w:pPr>
      <w:r>
        <w:tab/>
      </w:r>
      <w:r w:rsidR="0071488D">
        <w:t>Revolutionary Period: 1861-1945</w:t>
      </w:r>
    </w:p>
    <w:p w:rsidR="0071488D" w:rsidRDefault="0071488D" w:rsidP="00190A86">
      <w:pPr>
        <w:pBdr>
          <w:bottom w:val="single" w:sz="4" w:space="1" w:color="auto"/>
        </w:pBdr>
        <w:tabs>
          <w:tab w:val="left" w:pos="2880"/>
        </w:tabs>
      </w:pPr>
    </w:p>
    <w:p w:rsidR="0071488D" w:rsidRDefault="00190A86" w:rsidP="00190A86">
      <w:pPr>
        <w:pBdr>
          <w:bottom w:val="single" w:sz="4" w:space="1" w:color="auto"/>
        </w:pBdr>
        <w:tabs>
          <w:tab w:val="left" w:pos="2880"/>
        </w:tabs>
      </w:pPr>
      <w:r>
        <w:tab/>
      </w:r>
      <w:r w:rsidR="0071488D">
        <w:t>Consolidation and Increase in Scale: 1945-present</w:t>
      </w:r>
    </w:p>
    <w:p w:rsidR="00F92976" w:rsidRDefault="00F92976" w:rsidP="00F92976">
      <w:pPr>
        <w:keepNext/>
        <w:jc w:val="center"/>
        <w:rPr>
          <w:noProof/>
        </w:rPr>
      </w:pPr>
    </w:p>
    <w:p w:rsidR="00190A86" w:rsidRDefault="00190A86" w:rsidP="00F92976">
      <w:pPr>
        <w:keepNext/>
        <w:jc w:val="center"/>
      </w:pPr>
    </w:p>
    <w:p w:rsidR="0092144A" w:rsidRDefault="00F92976" w:rsidP="0092144A">
      <w:pPr>
        <w:spacing w:line="480" w:lineRule="auto"/>
      </w:pPr>
      <w:r>
        <w:tab/>
      </w:r>
      <w:r w:rsidR="00913A67">
        <w:t>Thus with some difficulty we might say that vigilantism and lynching were clearly remnants of the Colonial and National struggles, although lynching, in particular, changed fundamentally, first toward vigilantism, with the approach of the Civil War</w:t>
      </w:r>
      <w:r w:rsidR="007B42AA">
        <w:t>,</w:t>
      </w:r>
      <w:r w:rsidR="0028266D">
        <w:t xml:space="preserve"> and then reverting</w:t>
      </w:r>
      <w:r w:rsidR="00913A67">
        <w:t xml:space="preserve"> toward its antebellum ideal during its resurgence, after the Populist defeat and before the Great Depression.  </w:t>
      </w:r>
      <w:r>
        <w:t>The problem, of course, is that lynching is a remnant of the Old repertoire of contention that endures not only through the expanded period of revolutionary struggle (1861-</w:t>
      </w:r>
      <w:r>
        <w:lastRenderedPageBreak/>
        <w:t>1946)</w:t>
      </w:r>
      <w:r w:rsidR="0092144A">
        <w:t xml:space="preserve"> but beyond that into the modern era, when lynching makes a somewhat limited comeback during the Civil Rights Movement.  It is, in fact, </w:t>
      </w:r>
      <w:r w:rsidR="00190A86">
        <w:t xml:space="preserve">only </w:t>
      </w:r>
      <w:r w:rsidR="0092144A">
        <w:t xml:space="preserve">after the defeat of Jim Crow that the South is dragged kicking and screaming into the modern world of social movements and partisan politics.  The New South of the Reagan-Bush years reaches maturity with New Social Movements, such as the Tea Party, and </w:t>
      </w:r>
      <w:r w:rsidR="00190A86">
        <w:t xml:space="preserve">the </w:t>
      </w:r>
      <w:r w:rsidR="0092144A">
        <w:t>New Republican Party (which is not the Party of Lincoln any longer).</w:t>
      </w:r>
    </w:p>
    <w:p w:rsidR="00F92976" w:rsidRDefault="0092144A" w:rsidP="0092144A">
      <w:pPr>
        <w:spacing w:line="480" w:lineRule="auto"/>
        <w:ind w:firstLine="720"/>
      </w:pPr>
      <w:r>
        <w:t xml:space="preserve">For present purposes, </w:t>
      </w:r>
      <w:r w:rsidR="00913A67">
        <w:t xml:space="preserve">however, </w:t>
      </w:r>
      <w:r>
        <w:t>the critical issue is</w:t>
      </w:r>
      <w:r w:rsidR="007221A5">
        <w:t>, first,</w:t>
      </w:r>
      <w:r>
        <w:t xml:space="preserve"> </w:t>
      </w:r>
      <w:r w:rsidR="007221A5">
        <w:t>h</w:t>
      </w:r>
      <w:r>
        <w:t>ow and why does lynching emerge, in the 1830s, as an alternative to frontier vigilantism, plantation flogging, and the paramilitary efforts of runaway slave patrols</w:t>
      </w:r>
      <w:r w:rsidR="007221A5">
        <w:t>?  Then, we can ask, how and why did lynching change between 1830 and 1930?</w:t>
      </w:r>
    </w:p>
    <w:p w:rsidR="007B444D" w:rsidRDefault="007B444D" w:rsidP="007B444D">
      <w:pPr>
        <w:spacing w:line="480" w:lineRule="auto"/>
      </w:pPr>
      <w:r>
        <w:tab/>
        <w:t>Here I offer tentative answers to both questions, based on my reading of Tilly’s work on repertoires (most not</w:t>
      </w:r>
      <w:r w:rsidR="00F17BA0">
        <w:t>ably, Tilly 1986, 1995, and 2004</w:t>
      </w:r>
      <w:r w:rsidR="006F3E4B">
        <w:t>).  Simply stated, lynching i</w:t>
      </w:r>
      <w:r>
        <w:t>s innovation at the margins of vigilantism and terrorism</w:t>
      </w:r>
      <w:r w:rsidR="006F3E4B">
        <w:t>.</w:t>
      </w:r>
      <w:r w:rsidR="00CE6FB2">
        <w:rPr>
          <w:rStyle w:val="FootnoteReference"/>
        </w:rPr>
        <w:footnoteReference w:id="8"/>
      </w:r>
      <w:r w:rsidR="006F3E4B">
        <w:t xml:space="preserve">  Lynching</w:t>
      </w:r>
      <w:r>
        <w:t xml:space="preserve"> developed in defense of class and status interests, whose mobilization was inspired by political opportunities </w:t>
      </w:r>
      <w:r w:rsidR="0009374C">
        <w:t xml:space="preserve">or threats </w:t>
      </w:r>
      <w:r>
        <w:t xml:space="preserve">created in the general transformation of American republican capitalism between 1830 and 1930.  When and where lynching appeared, and  in what form, depended upon the nature of republican capitalism in that time and place, the cultural baggage that people brought to the table (including identities, networks, and repertoires), and the process of transformation that they experienced.  </w:t>
      </w:r>
    </w:p>
    <w:p w:rsidR="00190A86" w:rsidRDefault="007B444D" w:rsidP="0092144A">
      <w:pPr>
        <w:spacing w:line="480" w:lineRule="auto"/>
        <w:ind w:firstLine="720"/>
      </w:pPr>
      <w:r>
        <w:t xml:space="preserve">Before developing this argument, </w:t>
      </w:r>
      <w:r w:rsidR="00190A86">
        <w:t xml:space="preserve">let us turn to data </w:t>
      </w:r>
      <w:r w:rsidR="004E28C0">
        <w:t xml:space="preserve">for </w:t>
      </w:r>
      <w:r w:rsidR="00190A86">
        <w:t>more inductive inference to consider how lynching might represent innovation at</w:t>
      </w:r>
      <w:r w:rsidR="004E28C0">
        <w:t xml:space="preserve"> the margin of estab</w:t>
      </w:r>
      <w:r w:rsidR="00190A86">
        <w:t xml:space="preserve">lished repertoires </w:t>
      </w:r>
      <w:r w:rsidR="004E28C0">
        <w:t>of frontier and plantation contention.</w:t>
      </w:r>
    </w:p>
    <w:p w:rsidR="00F977A5" w:rsidRDefault="00F977A5">
      <w:pPr>
        <w:spacing w:line="480" w:lineRule="auto"/>
      </w:pPr>
    </w:p>
    <w:p w:rsidR="004E28C0" w:rsidRPr="004E28C0" w:rsidRDefault="004E28C0" w:rsidP="00E210E8">
      <w:pPr>
        <w:keepNext/>
        <w:spacing w:line="480" w:lineRule="auto"/>
        <w:rPr>
          <w:u w:val="single"/>
        </w:rPr>
      </w:pPr>
      <w:r w:rsidRPr="004E28C0">
        <w:rPr>
          <w:u w:val="single"/>
        </w:rPr>
        <w:t>Western versus Southern Lynching: Intersecting Repertoires of Collective Violence</w:t>
      </w:r>
    </w:p>
    <w:p w:rsidR="004E28C0" w:rsidRDefault="004E28C0" w:rsidP="004E28C0">
      <w:pPr>
        <w:spacing w:line="480" w:lineRule="auto"/>
      </w:pPr>
      <w:r>
        <w:tab/>
        <w:t xml:space="preserve">Perhaps the most obvious differences between Western </w:t>
      </w:r>
      <w:r w:rsidR="00985C7A">
        <w:t xml:space="preserve">vigilantism </w:t>
      </w:r>
      <w:r>
        <w:t xml:space="preserve">and Southern lynching </w:t>
      </w:r>
      <w:r w:rsidR="005F7EE0">
        <w:t>are</w:t>
      </w:r>
      <w:r>
        <w:t xml:space="preserve"> the race of the victim and the method used to kil</w:t>
      </w:r>
      <w:r w:rsidR="00985C7A">
        <w:t xml:space="preserve">l the victim.  Western vigilantes </w:t>
      </w:r>
      <w:r>
        <w:t>tended to hang white men.  Southern lynching tended to torture black men, frequently burning them at the stake rather than hanging or killing them humanely (or at least quickly).  There is, however, a temporal as well as spatial effect operating here.</w:t>
      </w:r>
    </w:p>
    <w:p w:rsidR="004E28C0" w:rsidRDefault="004E28C0" w:rsidP="004E28C0">
      <w:pPr>
        <w:spacing w:line="480" w:lineRule="auto"/>
      </w:pPr>
      <w:r>
        <w:tab/>
        <w:t>As seen in Table 1, antebellum lynching of blacks tended toward burning at the stake, but hangings came to predominate after 1850, when the incidence of lynching increased dramatically.</w:t>
      </w:r>
    </w:p>
    <w:p w:rsidR="00A467DD" w:rsidRDefault="00A467DD" w:rsidP="004E28C0">
      <w:pPr>
        <w:spacing w:line="480" w:lineRule="auto"/>
      </w:pPr>
    </w:p>
    <w:p w:rsidR="004E28C0" w:rsidRPr="00F638DF" w:rsidRDefault="004E28C0" w:rsidP="007A25BE">
      <w:pPr>
        <w:keepNext/>
        <w:jc w:val="center"/>
      </w:pPr>
      <w:r w:rsidRPr="00F638DF">
        <w:t>Table 1</w:t>
      </w:r>
    </w:p>
    <w:p w:rsidR="004E28C0" w:rsidRPr="00F638DF" w:rsidRDefault="004E28C0" w:rsidP="007A25BE">
      <w:pPr>
        <w:keepNext/>
        <w:jc w:val="center"/>
      </w:pPr>
      <w:r w:rsidRPr="00F638DF">
        <w:t xml:space="preserve">Black </w:t>
      </w:r>
      <w:r w:rsidR="00A264FF">
        <w:t xml:space="preserve">Vigilante </w:t>
      </w:r>
      <w:r w:rsidRPr="00F638DF">
        <w:t>Lynching Victims Reported for South, 1824-1862, by Date and Method (N=56)</w:t>
      </w:r>
    </w:p>
    <w:p w:rsidR="004E28C0" w:rsidRPr="00F638DF" w:rsidRDefault="004E28C0" w:rsidP="007A25BE">
      <w:pPr>
        <w:keepNext/>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023"/>
        <w:gridCol w:w="629"/>
        <w:gridCol w:w="931"/>
        <w:gridCol w:w="629"/>
        <w:gridCol w:w="848"/>
        <w:gridCol w:w="598"/>
        <w:gridCol w:w="10"/>
        <w:gridCol w:w="787"/>
        <w:gridCol w:w="667"/>
        <w:gridCol w:w="915"/>
      </w:tblGrid>
      <w:tr w:rsidR="004E28C0" w:rsidRPr="00F638DF" w:rsidTr="004E28C0">
        <w:trPr>
          <w:trHeight w:val="413"/>
          <w:jc w:val="center"/>
        </w:trPr>
        <w:tc>
          <w:tcPr>
            <w:tcW w:w="1477" w:type="dxa"/>
            <w:shd w:val="clear" w:color="auto" w:fill="auto"/>
            <w:vAlign w:val="center"/>
          </w:tcPr>
          <w:p w:rsidR="004E28C0" w:rsidRPr="00F638DF" w:rsidRDefault="004E28C0" w:rsidP="007A25BE">
            <w:pPr>
              <w:keepNext/>
              <w:jc w:val="center"/>
            </w:pPr>
            <w:r w:rsidRPr="00F638DF">
              <w:t>Time</w:t>
            </w:r>
          </w:p>
        </w:tc>
        <w:tc>
          <w:tcPr>
            <w:tcW w:w="1652" w:type="dxa"/>
            <w:gridSpan w:val="2"/>
            <w:shd w:val="clear" w:color="auto" w:fill="auto"/>
            <w:vAlign w:val="center"/>
          </w:tcPr>
          <w:p w:rsidR="004E28C0" w:rsidRPr="00F638DF" w:rsidRDefault="004E28C0" w:rsidP="007A25BE">
            <w:pPr>
              <w:keepNext/>
              <w:jc w:val="center"/>
              <w:rPr>
                <w:b/>
              </w:rPr>
            </w:pPr>
            <w:r w:rsidRPr="00F638DF">
              <w:rPr>
                <w:b/>
              </w:rPr>
              <w:t>Burning</w:t>
            </w:r>
          </w:p>
        </w:tc>
        <w:tc>
          <w:tcPr>
            <w:tcW w:w="1560" w:type="dxa"/>
            <w:gridSpan w:val="2"/>
            <w:shd w:val="clear" w:color="auto" w:fill="auto"/>
            <w:vAlign w:val="center"/>
          </w:tcPr>
          <w:p w:rsidR="004E28C0" w:rsidRPr="00F638DF" w:rsidRDefault="004E28C0" w:rsidP="007A25BE">
            <w:pPr>
              <w:keepNext/>
              <w:jc w:val="center"/>
              <w:rPr>
                <w:b/>
              </w:rPr>
            </w:pPr>
            <w:r w:rsidRPr="00F638DF">
              <w:rPr>
                <w:b/>
              </w:rPr>
              <w:t>Hanging</w:t>
            </w:r>
          </w:p>
        </w:tc>
        <w:tc>
          <w:tcPr>
            <w:tcW w:w="1446" w:type="dxa"/>
            <w:gridSpan w:val="2"/>
            <w:shd w:val="clear" w:color="auto" w:fill="auto"/>
            <w:vAlign w:val="center"/>
          </w:tcPr>
          <w:p w:rsidR="004E28C0" w:rsidRPr="00F638DF" w:rsidRDefault="004E28C0" w:rsidP="007A25BE">
            <w:pPr>
              <w:keepNext/>
              <w:jc w:val="center"/>
              <w:rPr>
                <w:b/>
              </w:rPr>
            </w:pPr>
            <w:r w:rsidRPr="00F638DF">
              <w:rPr>
                <w:b/>
              </w:rPr>
              <w:t>Shooting</w:t>
            </w:r>
          </w:p>
        </w:tc>
        <w:tc>
          <w:tcPr>
            <w:tcW w:w="1464" w:type="dxa"/>
            <w:gridSpan w:val="3"/>
            <w:shd w:val="clear" w:color="auto" w:fill="auto"/>
            <w:vAlign w:val="center"/>
          </w:tcPr>
          <w:p w:rsidR="004E28C0" w:rsidRPr="00F638DF" w:rsidRDefault="004E28C0" w:rsidP="007A25BE">
            <w:pPr>
              <w:keepNext/>
              <w:jc w:val="center"/>
              <w:rPr>
                <w:b/>
              </w:rPr>
            </w:pPr>
            <w:r w:rsidRPr="00F638DF">
              <w:rPr>
                <w:b/>
              </w:rPr>
              <w:t>Unknown</w:t>
            </w:r>
          </w:p>
        </w:tc>
        <w:tc>
          <w:tcPr>
            <w:tcW w:w="915" w:type="dxa"/>
            <w:shd w:val="clear" w:color="auto" w:fill="auto"/>
            <w:vAlign w:val="center"/>
          </w:tcPr>
          <w:p w:rsidR="004E28C0" w:rsidRPr="00F638DF" w:rsidRDefault="004E28C0" w:rsidP="007A25BE">
            <w:pPr>
              <w:keepNext/>
              <w:jc w:val="center"/>
            </w:pPr>
            <w:r w:rsidRPr="00F638DF">
              <w:t>N</w:t>
            </w:r>
          </w:p>
        </w:tc>
      </w:tr>
      <w:tr w:rsidR="004E28C0" w:rsidRPr="00F638DF" w:rsidTr="004E28C0">
        <w:trPr>
          <w:trHeight w:val="512"/>
          <w:jc w:val="center"/>
        </w:trPr>
        <w:tc>
          <w:tcPr>
            <w:tcW w:w="1477" w:type="dxa"/>
            <w:shd w:val="clear" w:color="auto" w:fill="auto"/>
            <w:vAlign w:val="center"/>
          </w:tcPr>
          <w:p w:rsidR="004E28C0" w:rsidRPr="00F638DF" w:rsidRDefault="004E28C0" w:rsidP="007A25BE">
            <w:pPr>
              <w:keepNext/>
              <w:jc w:val="center"/>
              <w:rPr>
                <w:b/>
              </w:rPr>
            </w:pPr>
            <w:r w:rsidRPr="00F638DF">
              <w:rPr>
                <w:b/>
              </w:rPr>
              <w:t>1824-1849</w:t>
            </w:r>
          </w:p>
        </w:tc>
        <w:tc>
          <w:tcPr>
            <w:tcW w:w="1023" w:type="dxa"/>
            <w:shd w:val="clear" w:color="auto" w:fill="auto"/>
            <w:vAlign w:val="center"/>
          </w:tcPr>
          <w:p w:rsidR="004E28C0" w:rsidRPr="00F638DF" w:rsidRDefault="004E28C0" w:rsidP="007A25BE">
            <w:pPr>
              <w:keepNext/>
              <w:tabs>
                <w:tab w:val="decimal" w:pos="607"/>
              </w:tabs>
              <w:jc w:val="center"/>
            </w:pPr>
            <w:r w:rsidRPr="00F638DF">
              <w:t>67%</w:t>
            </w:r>
          </w:p>
        </w:tc>
        <w:tc>
          <w:tcPr>
            <w:tcW w:w="629" w:type="dxa"/>
            <w:shd w:val="clear" w:color="auto" w:fill="auto"/>
            <w:vAlign w:val="center"/>
          </w:tcPr>
          <w:p w:rsidR="004E28C0" w:rsidRPr="00F638DF" w:rsidRDefault="004E28C0" w:rsidP="007A25BE">
            <w:pPr>
              <w:keepNext/>
              <w:tabs>
                <w:tab w:val="decimal" w:pos="517"/>
                <w:tab w:val="decimal" w:pos="607"/>
              </w:tabs>
              <w:jc w:val="center"/>
            </w:pPr>
            <w:r w:rsidRPr="00F638DF">
              <w:t>(12)</w:t>
            </w:r>
          </w:p>
        </w:tc>
        <w:tc>
          <w:tcPr>
            <w:tcW w:w="931" w:type="dxa"/>
            <w:shd w:val="clear" w:color="auto" w:fill="auto"/>
            <w:vAlign w:val="center"/>
          </w:tcPr>
          <w:p w:rsidR="004E28C0" w:rsidRPr="00F638DF" w:rsidRDefault="004E28C0" w:rsidP="007A25BE">
            <w:pPr>
              <w:keepNext/>
              <w:tabs>
                <w:tab w:val="decimal" w:pos="467"/>
              </w:tabs>
              <w:jc w:val="center"/>
            </w:pPr>
            <w:r w:rsidRPr="00F638DF">
              <w:t>17%</w:t>
            </w:r>
          </w:p>
        </w:tc>
        <w:tc>
          <w:tcPr>
            <w:tcW w:w="629" w:type="dxa"/>
            <w:shd w:val="clear" w:color="auto" w:fill="auto"/>
            <w:vAlign w:val="center"/>
          </w:tcPr>
          <w:p w:rsidR="004E28C0" w:rsidRPr="00F638DF" w:rsidRDefault="004E28C0" w:rsidP="007A25BE">
            <w:pPr>
              <w:keepNext/>
              <w:tabs>
                <w:tab w:val="decimal" w:pos="252"/>
              </w:tabs>
              <w:jc w:val="center"/>
            </w:pPr>
            <w:r w:rsidRPr="00F638DF">
              <w:t>(3)</w:t>
            </w:r>
          </w:p>
        </w:tc>
        <w:tc>
          <w:tcPr>
            <w:tcW w:w="848" w:type="dxa"/>
            <w:shd w:val="clear" w:color="auto" w:fill="auto"/>
            <w:vAlign w:val="center"/>
          </w:tcPr>
          <w:p w:rsidR="004E28C0" w:rsidRPr="00F638DF" w:rsidRDefault="004E28C0" w:rsidP="007A25BE">
            <w:pPr>
              <w:keepNext/>
              <w:tabs>
                <w:tab w:val="decimal" w:pos="432"/>
              </w:tabs>
              <w:jc w:val="center"/>
            </w:pPr>
            <w:r w:rsidRPr="00F638DF">
              <w:t>11%</w:t>
            </w:r>
          </w:p>
        </w:tc>
        <w:tc>
          <w:tcPr>
            <w:tcW w:w="608" w:type="dxa"/>
            <w:gridSpan w:val="2"/>
            <w:shd w:val="clear" w:color="auto" w:fill="auto"/>
            <w:vAlign w:val="center"/>
          </w:tcPr>
          <w:p w:rsidR="004E28C0" w:rsidRPr="00F638DF" w:rsidRDefault="004E28C0" w:rsidP="007A25BE">
            <w:pPr>
              <w:keepNext/>
              <w:tabs>
                <w:tab w:val="decimal" w:pos="252"/>
              </w:tabs>
              <w:jc w:val="center"/>
            </w:pPr>
            <w:r w:rsidRPr="00F638DF">
              <w:t>(2)</w:t>
            </w:r>
          </w:p>
        </w:tc>
        <w:tc>
          <w:tcPr>
            <w:tcW w:w="787" w:type="dxa"/>
            <w:shd w:val="clear" w:color="auto" w:fill="auto"/>
            <w:vAlign w:val="center"/>
          </w:tcPr>
          <w:p w:rsidR="004E28C0" w:rsidRPr="00F638DF" w:rsidRDefault="004E28C0" w:rsidP="007A25BE">
            <w:pPr>
              <w:keepNext/>
              <w:tabs>
                <w:tab w:val="decimal" w:pos="320"/>
              </w:tabs>
              <w:jc w:val="center"/>
            </w:pPr>
            <w:r w:rsidRPr="00F638DF">
              <w:t>5%</w:t>
            </w:r>
          </w:p>
        </w:tc>
        <w:tc>
          <w:tcPr>
            <w:tcW w:w="667" w:type="dxa"/>
            <w:shd w:val="clear" w:color="auto" w:fill="auto"/>
            <w:vAlign w:val="center"/>
          </w:tcPr>
          <w:p w:rsidR="004E28C0" w:rsidRPr="00F638DF" w:rsidRDefault="004E28C0" w:rsidP="007A25BE">
            <w:pPr>
              <w:keepNext/>
              <w:tabs>
                <w:tab w:val="decimal" w:pos="371"/>
              </w:tabs>
              <w:jc w:val="center"/>
            </w:pPr>
            <w:r w:rsidRPr="00F638DF">
              <w:t>(1)</w:t>
            </w:r>
          </w:p>
        </w:tc>
        <w:tc>
          <w:tcPr>
            <w:tcW w:w="915" w:type="dxa"/>
            <w:shd w:val="clear" w:color="auto" w:fill="auto"/>
            <w:vAlign w:val="center"/>
          </w:tcPr>
          <w:p w:rsidR="004E28C0" w:rsidRPr="00F638DF" w:rsidRDefault="004E28C0" w:rsidP="007A25BE">
            <w:pPr>
              <w:keepNext/>
              <w:tabs>
                <w:tab w:val="decimal" w:pos="627"/>
              </w:tabs>
              <w:jc w:val="center"/>
            </w:pPr>
            <w:r w:rsidRPr="00F638DF">
              <w:t>18</w:t>
            </w:r>
          </w:p>
        </w:tc>
      </w:tr>
      <w:tr w:rsidR="004E28C0" w:rsidRPr="00F638DF" w:rsidTr="004E28C0">
        <w:trPr>
          <w:trHeight w:val="593"/>
          <w:jc w:val="center"/>
        </w:trPr>
        <w:tc>
          <w:tcPr>
            <w:tcW w:w="1477" w:type="dxa"/>
            <w:shd w:val="clear" w:color="auto" w:fill="auto"/>
            <w:vAlign w:val="center"/>
          </w:tcPr>
          <w:p w:rsidR="004E28C0" w:rsidRPr="00F638DF" w:rsidRDefault="004E28C0" w:rsidP="007A25BE">
            <w:pPr>
              <w:keepNext/>
              <w:jc w:val="center"/>
              <w:rPr>
                <w:b/>
              </w:rPr>
            </w:pPr>
            <w:r w:rsidRPr="00F638DF">
              <w:rPr>
                <w:b/>
              </w:rPr>
              <w:t>1850-1862</w:t>
            </w:r>
          </w:p>
        </w:tc>
        <w:tc>
          <w:tcPr>
            <w:tcW w:w="1023" w:type="dxa"/>
            <w:shd w:val="clear" w:color="auto" w:fill="auto"/>
            <w:vAlign w:val="center"/>
          </w:tcPr>
          <w:p w:rsidR="004E28C0" w:rsidRPr="00F638DF" w:rsidRDefault="004E28C0" w:rsidP="007A25BE">
            <w:pPr>
              <w:keepNext/>
              <w:tabs>
                <w:tab w:val="decimal" w:pos="607"/>
              </w:tabs>
              <w:jc w:val="center"/>
            </w:pPr>
            <w:r w:rsidRPr="00F638DF">
              <w:t>37%</w:t>
            </w:r>
          </w:p>
        </w:tc>
        <w:tc>
          <w:tcPr>
            <w:tcW w:w="629" w:type="dxa"/>
            <w:shd w:val="clear" w:color="auto" w:fill="auto"/>
            <w:vAlign w:val="center"/>
          </w:tcPr>
          <w:p w:rsidR="004E28C0" w:rsidRPr="00F638DF" w:rsidRDefault="004E28C0" w:rsidP="007A25BE">
            <w:pPr>
              <w:keepNext/>
              <w:tabs>
                <w:tab w:val="decimal" w:pos="517"/>
                <w:tab w:val="decimal" w:pos="607"/>
              </w:tabs>
              <w:jc w:val="center"/>
            </w:pPr>
            <w:r w:rsidRPr="00F638DF">
              <w:t>(14)</w:t>
            </w:r>
          </w:p>
        </w:tc>
        <w:tc>
          <w:tcPr>
            <w:tcW w:w="931" w:type="dxa"/>
            <w:shd w:val="clear" w:color="auto" w:fill="auto"/>
            <w:vAlign w:val="center"/>
          </w:tcPr>
          <w:p w:rsidR="004E28C0" w:rsidRPr="00F638DF" w:rsidRDefault="004E28C0" w:rsidP="007A25BE">
            <w:pPr>
              <w:keepNext/>
              <w:tabs>
                <w:tab w:val="decimal" w:pos="467"/>
              </w:tabs>
              <w:jc w:val="center"/>
            </w:pPr>
            <w:r w:rsidRPr="00F638DF">
              <w:t>61%</w:t>
            </w:r>
          </w:p>
        </w:tc>
        <w:tc>
          <w:tcPr>
            <w:tcW w:w="629" w:type="dxa"/>
            <w:shd w:val="clear" w:color="auto" w:fill="auto"/>
            <w:vAlign w:val="center"/>
          </w:tcPr>
          <w:p w:rsidR="004E28C0" w:rsidRPr="00F638DF" w:rsidRDefault="004E28C0" w:rsidP="007A25BE">
            <w:pPr>
              <w:keepNext/>
              <w:tabs>
                <w:tab w:val="decimal" w:pos="252"/>
              </w:tabs>
              <w:jc w:val="center"/>
            </w:pPr>
            <w:r w:rsidRPr="00F638DF">
              <w:t>(23)</w:t>
            </w:r>
          </w:p>
        </w:tc>
        <w:tc>
          <w:tcPr>
            <w:tcW w:w="848" w:type="dxa"/>
            <w:shd w:val="clear" w:color="auto" w:fill="auto"/>
            <w:vAlign w:val="center"/>
          </w:tcPr>
          <w:p w:rsidR="004E28C0" w:rsidRPr="00F638DF" w:rsidRDefault="004E28C0" w:rsidP="007A25BE">
            <w:pPr>
              <w:keepNext/>
              <w:tabs>
                <w:tab w:val="decimal" w:pos="432"/>
              </w:tabs>
              <w:jc w:val="center"/>
            </w:pPr>
            <w:r w:rsidRPr="00F638DF">
              <w:t>-</w:t>
            </w:r>
          </w:p>
        </w:tc>
        <w:tc>
          <w:tcPr>
            <w:tcW w:w="608" w:type="dxa"/>
            <w:gridSpan w:val="2"/>
            <w:shd w:val="clear" w:color="auto" w:fill="auto"/>
            <w:vAlign w:val="center"/>
          </w:tcPr>
          <w:p w:rsidR="004E28C0" w:rsidRPr="00F638DF" w:rsidRDefault="004E28C0" w:rsidP="007A25BE">
            <w:pPr>
              <w:keepNext/>
              <w:tabs>
                <w:tab w:val="decimal" w:pos="252"/>
              </w:tabs>
              <w:jc w:val="center"/>
            </w:pPr>
            <w:r w:rsidRPr="00F638DF">
              <w:t>(0)</w:t>
            </w:r>
          </w:p>
        </w:tc>
        <w:tc>
          <w:tcPr>
            <w:tcW w:w="787" w:type="dxa"/>
            <w:shd w:val="clear" w:color="auto" w:fill="auto"/>
            <w:vAlign w:val="center"/>
          </w:tcPr>
          <w:p w:rsidR="004E28C0" w:rsidRPr="00F638DF" w:rsidRDefault="004E28C0" w:rsidP="007A25BE">
            <w:pPr>
              <w:keepNext/>
              <w:tabs>
                <w:tab w:val="decimal" w:pos="320"/>
              </w:tabs>
              <w:jc w:val="center"/>
            </w:pPr>
            <w:r w:rsidRPr="00F638DF">
              <w:t>3%</w:t>
            </w:r>
          </w:p>
        </w:tc>
        <w:tc>
          <w:tcPr>
            <w:tcW w:w="667" w:type="dxa"/>
            <w:shd w:val="clear" w:color="auto" w:fill="auto"/>
            <w:vAlign w:val="center"/>
          </w:tcPr>
          <w:p w:rsidR="004E28C0" w:rsidRPr="00F638DF" w:rsidRDefault="004E28C0" w:rsidP="007A25BE">
            <w:pPr>
              <w:keepNext/>
              <w:tabs>
                <w:tab w:val="decimal" w:pos="371"/>
              </w:tabs>
              <w:jc w:val="center"/>
            </w:pPr>
            <w:r w:rsidRPr="00F638DF">
              <w:t>(1)</w:t>
            </w:r>
          </w:p>
        </w:tc>
        <w:tc>
          <w:tcPr>
            <w:tcW w:w="915" w:type="dxa"/>
            <w:shd w:val="clear" w:color="auto" w:fill="auto"/>
            <w:vAlign w:val="center"/>
          </w:tcPr>
          <w:p w:rsidR="004E28C0" w:rsidRPr="00F638DF" w:rsidRDefault="004E28C0" w:rsidP="007A25BE">
            <w:pPr>
              <w:keepNext/>
              <w:tabs>
                <w:tab w:val="decimal" w:pos="627"/>
              </w:tabs>
              <w:jc w:val="center"/>
            </w:pPr>
            <w:r w:rsidRPr="00F638DF">
              <w:t>38</w:t>
            </w:r>
          </w:p>
        </w:tc>
      </w:tr>
      <w:tr w:rsidR="004E28C0" w:rsidRPr="00F638DF" w:rsidTr="004E28C0">
        <w:trPr>
          <w:trHeight w:val="467"/>
          <w:jc w:val="center"/>
        </w:trPr>
        <w:tc>
          <w:tcPr>
            <w:tcW w:w="1477" w:type="dxa"/>
            <w:shd w:val="clear" w:color="auto" w:fill="auto"/>
            <w:vAlign w:val="center"/>
          </w:tcPr>
          <w:p w:rsidR="004E28C0" w:rsidRPr="00F638DF" w:rsidRDefault="004E28C0" w:rsidP="004E28C0">
            <w:pPr>
              <w:jc w:val="center"/>
            </w:pPr>
            <w:r w:rsidRPr="00F638DF">
              <w:t>Total</w:t>
            </w:r>
          </w:p>
        </w:tc>
        <w:tc>
          <w:tcPr>
            <w:tcW w:w="1023" w:type="dxa"/>
            <w:shd w:val="clear" w:color="auto" w:fill="auto"/>
            <w:vAlign w:val="center"/>
          </w:tcPr>
          <w:p w:rsidR="004E28C0" w:rsidRPr="00F638DF" w:rsidRDefault="004E28C0" w:rsidP="004E28C0">
            <w:pPr>
              <w:tabs>
                <w:tab w:val="decimal" w:pos="607"/>
              </w:tabs>
              <w:jc w:val="center"/>
            </w:pPr>
            <w:r w:rsidRPr="00F638DF">
              <w:t>46%</w:t>
            </w:r>
          </w:p>
        </w:tc>
        <w:tc>
          <w:tcPr>
            <w:tcW w:w="629" w:type="dxa"/>
            <w:shd w:val="clear" w:color="auto" w:fill="auto"/>
            <w:vAlign w:val="center"/>
          </w:tcPr>
          <w:p w:rsidR="004E28C0" w:rsidRPr="00F638DF" w:rsidRDefault="004E28C0" w:rsidP="004E28C0">
            <w:pPr>
              <w:tabs>
                <w:tab w:val="decimal" w:pos="517"/>
                <w:tab w:val="decimal" w:pos="607"/>
              </w:tabs>
              <w:jc w:val="center"/>
            </w:pPr>
            <w:r w:rsidRPr="00F638DF">
              <w:t>26</w:t>
            </w:r>
          </w:p>
        </w:tc>
        <w:tc>
          <w:tcPr>
            <w:tcW w:w="931" w:type="dxa"/>
            <w:shd w:val="clear" w:color="auto" w:fill="auto"/>
            <w:vAlign w:val="center"/>
          </w:tcPr>
          <w:p w:rsidR="004E28C0" w:rsidRPr="00F638DF" w:rsidRDefault="004E28C0" w:rsidP="004E28C0">
            <w:pPr>
              <w:tabs>
                <w:tab w:val="decimal" w:pos="467"/>
              </w:tabs>
              <w:jc w:val="center"/>
            </w:pPr>
            <w:r w:rsidRPr="00F638DF">
              <w:t>46%</w:t>
            </w:r>
          </w:p>
        </w:tc>
        <w:tc>
          <w:tcPr>
            <w:tcW w:w="629" w:type="dxa"/>
            <w:shd w:val="clear" w:color="auto" w:fill="auto"/>
            <w:vAlign w:val="center"/>
          </w:tcPr>
          <w:p w:rsidR="004E28C0" w:rsidRPr="00F638DF" w:rsidRDefault="004E28C0" w:rsidP="004E28C0">
            <w:pPr>
              <w:tabs>
                <w:tab w:val="decimal" w:pos="252"/>
              </w:tabs>
              <w:jc w:val="center"/>
            </w:pPr>
            <w:r w:rsidRPr="00F638DF">
              <w:t>26</w:t>
            </w:r>
          </w:p>
        </w:tc>
        <w:tc>
          <w:tcPr>
            <w:tcW w:w="848" w:type="dxa"/>
            <w:shd w:val="clear" w:color="auto" w:fill="auto"/>
            <w:vAlign w:val="center"/>
          </w:tcPr>
          <w:p w:rsidR="004E28C0" w:rsidRPr="00F638DF" w:rsidRDefault="004E28C0" w:rsidP="004E28C0">
            <w:pPr>
              <w:tabs>
                <w:tab w:val="decimal" w:pos="432"/>
              </w:tabs>
              <w:jc w:val="center"/>
            </w:pPr>
            <w:r w:rsidRPr="00F638DF">
              <w:t>4%</w:t>
            </w:r>
          </w:p>
        </w:tc>
        <w:tc>
          <w:tcPr>
            <w:tcW w:w="608" w:type="dxa"/>
            <w:gridSpan w:val="2"/>
            <w:shd w:val="clear" w:color="auto" w:fill="auto"/>
            <w:vAlign w:val="center"/>
          </w:tcPr>
          <w:p w:rsidR="004E28C0" w:rsidRPr="00F638DF" w:rsidRDefault="004E28C0" w:rsidP="004E28C0">
            <w:pPr>
              <w:tabs>
                <w:tab w:val="decimal" w:pos="252"/>
              </w:tabs>
              <w:jc w:val="center"/>
            </w:pPr>
            <w:r w:rsidRPr="00F638DF">
              <w:t>(2)</w:t>
            </w:r>
          </w:p>
        </w:tc>
        <w:tc>
          <w:tcPr>
            <w:tcW w:w="787" w:type="dxa"/>
            <w:shd w:val="clear" w:color="auto" w:fill="auto"/>
            <w:vAlign w:val="center"/>
          </w:tcPr>
          <w:p w:rsidR="004E28C0" w:rsidRPr="00F638DF" w:rsidRDefault="004E28C0" w:rsidP="004E28C0">
            <w:pPr>
              <w:tabs>
                <w:tab w:val="decimal" w:pos="320"/>
              </w:tabs>
              <w:jc w:val="center"/>
            </w:pPr>
            <w:r w:rsidRPr="00F638DF">
              <w:t>4%</w:t>
            </w:r>
          </w:p>
        </w:tc>
        <w:tc>
          <w:tcPr>
            <w:tcW w:w="667" w:type="dxa"/>
            <w:shd w:val="clear" w:color="auto" w:fill="auto"/>
            <w:vAlign w:val="center"/>
          </w:tcPr>
          <w:p w:rsidR="004E28C0" w:rsidRPr="00F638DF" w:rsidRDefault="004E28C0" w:rsidP="004E28C0">
            <w:pPr>
              <w:tabs>
                <w:tab w:val="decimal" w:pos="371"/>
              </w:tabs>
              <w:jc w:val="center"/>
            </w:pPr>
            <w:r w:rsidRPr="00F638DF">
              <w:t>(2)</w:t>
            </w:r>
          </w:p>
        </w:tc>
        <w:tc>
          <w:tcPr>
            <w:tcW w:w="915" w:type="dxa"/>
            <w:shd w:val="clear" w:color="auto" w:fill="auto"/>
            <w:vAlign w:val="center"/>
          </w:tcPr>
          <w:p w:rsidR="004E28C0" w:rsidRPr="00F638DF" w:rsidRDefault="004E28C0" w:rsidP="004E28C0">
            <w:pPr>
              <w:tabs>
                <w:tab w:val="decimal" w:pos="627"/>
              </w:tabs>
              <w:jc w:val="center"/>
            </w:pPr>
            <w:r w:rsidRPr="00F638DF">
              <w:t>56</w:t>
            </w:r>
          </w:p>
        </w:tc>
      </w:tr>
    </w:tbl>
    <w:p w:rsidR="004E28C0" w:rsidRPr="00F638DF" w:rsidRDefault="004E28C0" w:rsidP="004E28C0">
      <w:pPr>
        <w:jc w:val="center"/>
      </w:pPr>
    </w:p>
    <w:p w:rsidR="004E28C0" w:rsidRPr="00F638DF" w:rsidRDefault="004E28C0" w:rsidP="004E28C0">
      <w:r w:rsidRPr="00F638DF">
        <w:t>Source: Pfeifer (2011), Appendix</w:t>
      </w:r>
    </w:p>
    <w:p w:rsidR="004E28C0" w:rsidRDefault="004E28C0" w:rsidP="004E28C0">
      <w:pPr>
        <w:spacing w:line="480" w:lineRule="auto"/>
      </w:pPr>
    </w:p>
    <w:p w:rsidR="004E28C0" w:rsidRDefault="00985C7A" w:rsidP="004E28C0">
      <w:pPr>
        <w:spacing w:line="480" w:lineRule="auto"/>
      </w:pPr>
      <w:r>
        <w:tab/>
        <w:t xml:space="preserve">Western vigilantism </w:t>
      </w:r>
      <w:r w:rsidR="004E28C0">
        <w:t xml:space="preserve">followed a different pattern, beginning as a more humane and frequently formal procedure of trial and execution, mimicking the formal legal procedures used in Eastern courts.  In </w:t>
      </w:r>
      <w:r w:rsidR="00DE6114">
        <w:t xml:space="preserve">the </w:t>
      </w:r>
      <w:r w:rsidR="004E28C0">
        <w:t xml:space="preserve">Denver People’s Court of 1859-1860, for example, the crowd appointed lawyers for the defense and the prosecution, selected judge and jurors, heard testimony, and </w:t>
      </w:r>
      <w:r w:rsidR="004E28C0">
        <w:lastRenderedPageBreak/>
        <w:t xml:space="preserve">sometimes found the defendant not guilty (Hogan 1990).  The defendants were like most Coloradans at the time, mostly white Anglo-American males.  Later, however, particularly after the Civil War, in the political turmoil surrounding statehood, in 1876, </w:t>
      </w:r>
      <w:r w:rsidR="00A264FF">
        <w:t xml:space="preserve">vigilantism </w:t>
      </w:r>
      <w:r w:rsidR="004E28C0">
        <w:t>became more common and the victims were somewhat more ethnically or racially diverse.</w:t>
      </w:r>
    </w:p>
    <w:p w:rsidR="004E28C0" w:rsidRDefault="004E28C0" w:rsidP="007A25BE">
      <w:pPr>
        <w:keepNext/>
        <w:jc w:val="center"/>
      </w:pPr>
      <w:r>
        <w:t>Table 2</w:t>
      </w:r>
    </w:p>
    <w:p w:rsidR="004E28C0" w:rsidRDefault="00A264FF" w:rsidP="007A25BE">
      <w:pPr>
        <w:keepNext/>
        <w:jc w:val="center"/>
      </w:pPr>
      <w:r>
        <w:t xml:space="preserve">Vigilante </w:t>
      </w:r>
      <w:r w:rsidR="004E28C0">
        <w:t>Lynching Victims from Colorado, 1859-1919</w:t>
      </w:r>
    </w:p>
    <w:p w:rsidR="004E28C0" w:rsidRDefault="004E28C0" w:rsidP="007A25BE">
      <w:pPr>
        <w:keepNext/>
        <w:jc w:val="center"/>
      </w:pPr>
    </w:p>
    <w:tbl>
      <w:tblPr>
        <w:tblStyle w:val="TableGrid"/>
        <w:tblW w:w="0" w:type="auto"/>
        <w:jc w:val="center"/>
        <w:tblLook w:val="04A0" w:firstRow="1" w:lastRow="0" w:firstColumn="1" w:lastColumn="0" w:noHBand="0" w:noVBand="1"/>
      </w:tblPr>
      <w:tblGrid>
        <w:gridCol w:w="2736"/>
        <w:gridCol w:w="2736"/>
        <w:gridCol w:w="2736"/>
      </w:tblGrid>
      <w:tr w:rsidR="004E28C0" w:rsidRPr="002F3650" w:rsidTr="009D6382">
        <w:trPr>
          <w:trHeight w:val="274"/>
          <w:jc w:val="center"/>
        </w:trPr>
        <w:tc>
          <w:tcPr>
            <w:tcW w:w="2736" w:type="dxa"/>
          </w:tcPr>
          <w:p w:rsidR="004E28C0" w:rsidRPr="009D6382" w:rsidRDefault="004E28C0" w:rsidP="007A25BE">
            <w:pPr>
              <w:keepNext/>
              <w:jc w:val="center"/>
              <w:rPr>
                <w:rFonts w:ascii="Times New Roman" w:hAnsi="Times New Roman" w:cs="Times New Roman"/>
                <w:b/>
                <w:sz w:val="24"/>
                <w:szCs w:val="24"/>
              </w:rPr>
            </w:pPr>
            <w:r w:rsidRPr="009D6382">
              <w:rPr>
                <w:b/>
              </w:rPr>
              <w:t>Years</w:t>
            </w:r>
          </w:p>
        </w:tc>
        <w:tc>
          <w:tcPr>
            <w:tcW w:w="2736" w:type="dxa"/>
          </w:tcPr>
          <w:p w:rsidR="004E28C0" w:rsidRPr="009D6382" w:rsidRDefault="004E28C0" w:rsidP="007A25BE">
            <w:pPr>
              <w:keepNext/>
              <w:jc w:val="center"/>
              <w:rPr>
                <w:rFonts w:ascii="Times New Roman" w:hAnsi="Times New Roman" w:cs="Times New Roman"/>
                <w:b/>
                <w:sz w:val="24"/>
                <w:szCs w:val="24"/>
              </w:rPr>
            </w:pPr>
            <w:r w:rsidRPr="009D6382">
              <w:rPr>
                <w:b/>
              </w:rPr>
              <w:t>Victims</w:t>
            </w:r>
          </w:p>
        </w:tc>
        <w:tc>
          <w:tcPr>
            <w:tcW w:w="2736" w:type="dxa"/>
          </w:tcPr>
          <w:p w:rsidR="004E28C0" w:rsidRPr="002F3650" w:rsidRDefault="004E28C0" w:rsidP="007A25BE">
            <w:pPr>
              <w:keepNext/>
              <w:jc w:val="center"/>
              <w:rPr>
                <w:rFonts w:ascii="Times New Roman" w:hAnsi="Times New Roman" w:cs="Times New Roman"/>
                <w:b/>
                <w:sz w:val="24"/>
                <w:szCs w:val="24"/>
              </w:rPr>
            </w:pPr>
            <w:r w:rsidRPr="002F3650">
              <w:rPr>
                <w:b/>
              </w:rPr>
              <w:t>White Anglo-American (%)</w:t>
            </w:r>
          </w:p>
        </w:tc>
      </w:tr>
      <w:tr w:rsidR="004E28C0" w:rsidRPr="002F3650" w:rsidTr="009D6382">
        <w:trPr>
          <w:trHeight w:val="274"/>
          <w:jc w:val="center"/>
        </w:trPr>
        <w:tc>
          <w:tcPr>
            <w:tcW w:w="2736" w:type="dxa"/>
          </w:tcPr>
          <w:p w:rsidR="004E28C0" w:rsidRPr="002F3650" w:rsidRDefault="004E28C0" w:rsidP="007A25BE">
            <w:pPr>
              <w:keepNext/>
              <w:jc w:val="center"/>
              <w:rPr>
                <w:rFonts w:ascii="Times New Roman" w:hAnsi="Times New Roman" w:cs="Times New Roman"/>
                <w:b/>
                <w:sz w:val="24"/>
                <w:szCs w:val="24"/>
              </w:rPr>
            </w:pPr>
            <w:r w:rsidRPr="002F3650">
              <w:rPr>
                <w:b/>
              </w:rPr>
              <w:t>1859-1865</w:t>
            </w:r>
          </w:p>
        </w:tc>
        <w:tc>
          <w:tcPr>
            <w:tcW w:w="2736" w:type="dxa"/>
          </w:tcPr>
          <w:p w:rsidR="004E28C0" w:rsidRPr="002F3650" w:rsidRDefault="004E28C0" w:rsidP="007A25BE">
            <w:pPr>
              <w:keepNext/>
              <w:jc w:val="center"/>
              <w:rPr>
                <w:rFonts w:ascii="Times New Roman" w:hAnsi="Times New Roman" w:cs="Times New Roman"/>
                <w:sz w:val="24"/>
                <w:szCs w:val="24"/>
              </w:rPr>
            </w:pPr>
            <w:r>
              <w:t>28</w:t>
            </w:r>
          </w:p>
        </w:tc>
        <w:tc>
          <w:tcPr>
            <w:tcW w:w="2736" w:type="dxa"/>
          </w:tcPr>
          <w:p w:rsidR="004E28C0" w:rsidRPr="002F3650" w:rsidRDefault="004E28C0" w:rsidP="007A25BE">
            <w:pPr>
              <w:keepNext/>
              <w:jc w:val="center"/>
              <w:rPr>
                <w:rFonts w:ascii="Times New Roman" w:hAnsi="Times New Roman" w:cs="Times New Roman"/>
                <w:sz w:val="24"/>
                <w:szCs w:val="24"/>
              </w:rPr>
            </w:pPr>
            <w:r>
              <w:t>25 (89%)</w:t>
            </w:r>
          </w:p>
        </w:tc>
      </w:tr>
      <w:tr w:rsidR="004E28C0" w:rsidRPr="002F3650" w:rsidTr="009D6382">
        <w:trPr>
          <w:trHeight w:val="274"/>
          <w:jc w:val="center"/>
        </w:trPr>
        <w:tc>
          <w:tcPr>
            <w:tcW w:w="2736" w:type="dxa"/>
          </w:tcPr>
          <w:p w:rsidR="004E28C0" w:rsidRPr="002F3650" w:rsidRDefault="004E28C0" w:rsidP="007A25BE">
            <w:pPr>
              <w:keepNext/>
              <w:jc w:val="center"/>
              <w:rPr>
                <w:rFonts w:ascii="Times New Roman" w:hAnsi="Times New Roman" w:cs="Times New Roman"/>
                <w:b/>
                <w:sz w:val="24"/>
                <w:szCs w:val="24"/>
              </w:rPr>
            </w:pPr>
            <w:r w:rsidRPr="002F3650">
              <w:rPr>
                <w:b/>
              </w:rPr>
              <w:t>1866-1875</w:t>
            </w:r>
          </w:p>
        </w:tc>
        <w:tc>
          <w:tcPr>
            <w:tcW w:w="2736" w:type="dxa"/>
          </w:tcPr>
          <w:p w:rsidR="004E28C0" w:rsidRPr="002F3650" w:rsidRDefault="004E28C0" w:rsidP="007A25BE">
            <w:pPr>
              <w:keepNext/>
              <w:jc w:val="center"/>
              <w:rPr>
                <w:rFonts w:ascii="Times New Roman" w:hAnsi="Times New Roman" w:cs="Times New Roman"/>
                <w:sz w:val="24"/>
                <w:szCs w:val="24"/>
              </w:rPr>
            </w:pPr>
            <w:r>
              <w:t>77</w:t>
            </w:r>
          </w:p>
        </w:tc>
        <w:tc>
          <w:tcPr>
            <w:tcW w:w="2736" w:type="dxa"/>
          </w:tcPr>
          <w:p w:rsidR="004E28C0" w:rsidRPr="002F3650" w:rsidRDefault="004E28C0" w:rsidP="007A25BE">
            <w:pPr>
              <w:keepNext/>
              <w:jc w:val="center"/>
              <w:rPr>
                <w:rFonts w:ascii="Times New Roman" w:hAnsi="Times New Roman" w:cs="Times New Roman"/>
                <w:sz w:val="24"/>
                <w:szCs w:val="24"/>
              </w:rPr>
            </w:pPr>
            <w:r>
              <w:t>65 (84%)</w:t>
            </w:r>
          </w:p>
        </w:tc>
      </w:tr>
      <w:tr w:rsidR="004E28C0" w:rsidRPr="002F3650" w:rsidTr="009D6382">
        <w:trPr>
          <w:trHeight w:val="274"/>
          <w:jc w:val="center"/>
        </w:trPr>
        <w:tc>
          <w:tcPr>
            <w:tcW w:w="2736" w:type="dxa"/>
          </w:tcPr>
          <w:p w:rsidR="004E28C0" w:rsidRPr="002F3650" w:rsidRDefault="004E28C0" w:rsidP="007A25BE">
            <w:pPr>
              <w:keepNext/>
              <w:jc w:val="center"/>
              <w:rPr>
                <w:b/>
              </w:rPr>
            </w:pPr>
            <w:r w:rsidRPr="002F3650">
              <w:rPr>
                <w:b/>
              </w:rPr>
              <w:t>1876-1885</w:t>
            </w:r>
          </w:p>
        </w:tc>
        <w:tc>
          <w:tcPr>
            <w:tcW w:w="2736" w:type="dxa"/>
          </w:tcPr>
          <w:p w:rsidR="004E28C0" w:rsidRPr="002F3650" w:rsidRDefault="004E28C0" w:rsidP="007A25BE">
            <w:pPr>
              <w:keepNext/>
              <w:jc w:val="center"/>
            </w:pPr>
            <w:r>
              <w:t>59</w:t>
            </w:r>
          </w:p>
        </w:tc>
        <w:tc>
          <w:tcPr>
            <w:tcW w:w="2736" w:type="dxa"/>
          </w:tcPr>
          <w:p w:rsidR="004E28C0" w:rsidRPr="002F3650" w:rsidRDefault="004E28C0" w:rsidP="007A25BE">
            <w:pPr>
              <w:keepNext/>
              <w:jc w:val="center"/>
            </w:pPr>
            <w:r>
              <w:t>48 (81%)</w:t>
            </w:r>
          </w:p>
        </w:tc>
      </w:tr>
      <w:tr w:rsidR="004E28C0" w:rsidRPr="002F3650" w:rsidTr="009D6382">
        <w:trPr>
          <w:trHeight w:val="274"/>
          <w:jc w:val="center"/>
        </w:trPr>
        <w:tc>
          <w:tcPr>
            <w:tcW w:w="2736" w:type="dxa"/>
          </w:tcPr>
          <w:p w:rsidR="004E28C0" w:rsidRPr="002F3650" w:rsidRDefault="004E28C0" w:rsidP="007A25BE">
            <w:pPr>
              <w:keepNext/>
              <w:jc w:val="center"/>
              <w:rPr>
                <w:b/>
              </w:rPr>
            </w:pPr>
            <w:r w:rsidRPr="002F3650">
              <w:rPr>
                <w:b/>
              </w:rPr>
              <w:t>1886-1919</w:t>
            </w:r>
          </w:p>
        </w:tc>
        <w:tc>
          <w:tcPr>
            <w:tcW w:w="2736" w:type="dxa"/>
          </w:tcPr>
          <w:p w:rsidR="004E28C0" w:rsidRPr="002F3650" w:rsidRDefault="004E28C0" w:rsidP="007A25BE">
            <w:pPr>
              <w:keepNext/>
              <w:jc w:val="center"/>
            </w:pPr>
            <w:r>
              <w:t>30</w:t>
            </w:r>
          </w:p>
        </w:tc>
        <w:tc>
          <w:tcPr>
            <w:tcW w:w="2736" w:type="dxa"/>
          </w:tcPr>
          <w:p w:rsidR="004E28C0" w:rsidRPr="002F3650" w:rsidRDefault="004E28C0" w:rsidP="007A25BE">
            <w:pPr>
              <w:keepNext/>
              <w:jc w:val="center"/>
            </w:pPr>
            <w:r>
              <w:t>15 (50%)</w:t>
            </w:r>
          </w:p>
        </w:tc>
      </w:tr>
      <w:tr w:rsidR="004E28C0" w:rsidRPr="002F3650" w:rsidTr="009D6382">
        <w:trPr>
          <w:trHeight w:val="274"/>
          <w:jc w:val="center"/>
        </w:trPr>
        <w:tc>
          <w:tcPr>
            <w:tcW w:w="2736" w:type="dxa"/>
          </w:tcPr>
          <w:p w:rsidR="004E28C0" w:rsidRPr="002F3650" w:rsidRDefault="004E28C0" w:rsidP="007A25BE">
            <w:pPr>
              <w:keepNext/>
              <w:jc w:val="center"/>
            </w:pPr>
            <w:r>
              <w:t>N</w:t>
            </w:r>
          </w:p>
        </w:tc>
        <w:tc>
          <w:tcPr>
            <w:tcW w:w="2736" w:type="dxa"/>
          </w:tcPr>
          <w:p w:rsidR="004E28C0" w:rsidRPr="002F3650" w:rsidRDefault="004E28C0" w:rsidP="007A25BE">
            <w:pPr>
              <w:keepNext/>
              <w:jc w:val="center"/>
            </w:pPr>
            <w:r>
              <w:t>194</w:t>
            </w:r>
          </w:p>
        </w:tc>
        <w:tc>
          <w:tcPr>
            <w:tcW w:w="2736" w:type="dxa"/>
          </w:tcPr>
          <w:p w:rsidR="004E28C0" w:rsidRPr="002F3650" w:rsidRDefault="004E28C0" w:rsidP="007A25BE">
            <w:pPr>
              <w:keepNext/>
              <w:jc w:val="center"/>
            </w:pPr>
            <w:r>
              <w:t>153 (80%)</w:t>
            </w:r>
          </w:p>
        </w:tc>
      </w:tr>
    </w:tbl>
    <w:p w:rsidR="007A25BE" w:rsidRDefault="007A25BE" w:rsidP="007A25BE">
      <w:pPr>
        <w:keepNext/>
      </w:pPr>
    </w:p>
    <w:p w:rsidR="004E28C0" w:rsidRDefault="004E28C0" w:rsidP="004E28C0">
      <w:r w:rsidRPr="00EA381D">
        <w:t xml:space="preserve">Source: Leonard (2002), Appendix A.1 contains 195 </w:t>
      </w:r>
      <w:r w:rsidR="00A264FF">
        <w:t>“</w:t>
      </w:r>
      <w:r w:rsidRPr="00EA381D">
        <w:t>lynching</w:t>
      </w:r>
      <w:r w:rsidR="00A264FF">
        <w:t>”</w:t>
      </w:r>
      <w:r w:rsidRPr="00EA381D">
        <w:t xml:space="preserve"> victims.</w:t>
      </w:r>
      <w:r w:rsidR="007E3C81">
        <w:rPr>
          <w:rStyle w:val="FootnoteReference"/>
        </w:rPr>
        <w:footnoteReference w:id="9"/>
      </w:r>
    </w:p>
    <w:p w:rsidR="004E28C0" w:rsidRDefault="004E28C0" w:rsidP="004E28C0">
      <w:pPr>
        <w:spacing w:line="480" w:lineRule="auto"/>
      </w:pPr>
    </w:p>
    <w:p w:rsidR="004E28C0" w:rsidRDefault="004E28C0" w:rsidP="00A264FF">
      <w:pPr>
        <w:spacing w:line="480" w:lineRule="auto"/>
        <w:ind w:firstLine="720"/>
      </w:pPr>
      <w:r>
        <w:t xml:space="preserve">Western </w:t>
      </w:r>
      <w:r w:rsidR="00A264FF">
        <w:t xml:space="preserve">vigilantism </w:t>
      </w:r>
      <w:r>
        <w:t>is often associated with the chaos of frontier settlement, before legal authority was established (</w:t>
      </w:r>
      <w:proofErr w:type="spellStart"/>
      <w:r>
        <w:t>Brundage</w:t>
      </w:r>
      <w:proofErr w:type="spellEnd"/>
      <w:r>
        <w:t xml:space="preserve"> 1999:301). </w:t>
      </w:r>
      <w:r w:rsidR="00985C7A">
        <w:t xml:space="preserve"> In Colorado, however, vigilantism </w:t>
      </w:r>
      <w:r>
        <w:t>was rare during the frontier period, including here the early territorial years (1861-1865) when federal authorities were preoccupied with Civil War.  This is true even in these data, where People’s Court executi</w:t>
      </w:r>
      <w:r w:rsidR="00CE56A6">
        <w:t xml:space="preserve">ons are included.  </w:t>
      </w:r>
      <w:r w:rsidR="00985C7A">
        <w:t xml:space="preserve">Vigilantism </w:t>
      </w:r>
      <w:r w:rsidR="00CE56A6">
        <w:t>became</w:t>
      </w:r>
      <w:r>
        <w:t xml:space="preserve"> more prevalent in the years before and, to a lesser extent, after statehood in 1876.  By 1886, </w:t>
      </w:r>
      <w:r w:rsidR="00A264FF">
        <w:t>vigilantism</w:t>
      </w:r>
      <w:r w:rsidR="00985C7A">
        <w:t xml:space="preserve"> </w:t>
      </w:r>
      <w:r>
        <w:t xml:space="preserve">was less common, and it became virtually unknown after 1900.  </w:t>
      </w:r>
      <w:r w:rsidR="00EF4655">
        <w:t>A</w:t>
      </w:r>
      <w:r>
        <w:t xml:space="preserve">s </w:t>
      </w:r>
      <w:r w:rsidR="00A264FF">
        <w:t xml:space="preserve">vigilante </w:t>
      </w:r>
      <w:r>
        <w:t>lynching became rare</w:t>
      </w:r>
      <w:r w:rsidR="00EF4655">
        <w:t>, however,</w:t>
      </w:r>
      <w:r>
        <w:t xml:space="preserve"> it </w:t>
      </w:r>
      <w:r w:rsidR="00EF4655">
        <w:t xml:space="preserve">also </w:t>
      </w:r>
      <w:r>
        <w:t>became racial.  Between 1886 and 1919 victims included four blacks, one Chinese, five Italians, and five Mexicans, even as half remain</w:t>
      </w:r>
      <w:r w:rsidR="00DE6114">
        <w:t>ed</w:t>
      </w:r>
      <w:r>
        <w:t xml:space="preserve">, presumably, white Anglo-American victims.  </w:t>
      </w:r>
    </w:p>
    <w:p w:rsidR="004E28C0" w:rsidRDefault="00EF4655" w:rsidP="004E28C0">
      <w:pPr>
        <w:spacing w:line="480" w:lineRule="auto"/>
        <w:ind w:firstLine="720"/>
      </w:pPr>
      <w:r>
        <w:lastRenderedPageBreak/>
        <w:t>T</w:t>
      </w:r>
      <w:r w:rsidR="004E28C0">
        <w:t xml:space="preserve">here is </w:t>
      </w:r>
      <w:r>
        <w:t xml:space="preserve">also </w:t>
      </w:r>
      <w:r w:rsidR="004E28C0">
        <w:t xml:space="preserve">some indication that </w:t>
      </w:r>
      <w:r w:rsidR="00985C7A">
        <w:t xml:space="preserve">Colorado vigilantism </w:t>
      </w:r>
      <w:r w:rsidR="004E28C0">
        <w:t>was becoming more barbarous</w:t>
      </w:r>
      <w:r w:rsidR="00985C7A">
        <w:t>—more like Southern lynching</w:t>
      </w:r>
      <w:r w:rsidR="004E28C0">
        <w:t xml:space="preserve">.  Torture and burning were limited to the later years (1886-1919) and tended to be associated with black or ethnic minority victims.  </w:t>
      </w:r>
      <w:r w:rsidR="005F7EE0">
        <w:t>Vigilantes burned two</w:t>
      </w:r>
      <w:r w:rsidR="004E28C0">
        <w:t xml:space="preserve"> victims to death, one in a jail cell (1887) and another at the stake (1900).  Both victims were black.  These and other events of the later years resembled the Southern events.  In fact, the legal executions of this period resemble in some ways the public spectacle of the Southern lynching, as evidenced in the case of Andrew Green, a black man legally </w:t>
      </w:r>
      <w:r w:rsidR="005F7EE0">
        <w:t>executed in</w:t>
      </w:r>
      <w:r w:rsidR="004E28C0">
        <w:t xml:space="preserve"> 1886.</w:t>
      </w:r>
    </w:p>
    <w:p w:rsidR="004E28C0" w:rsidRDefault="004E28C0" w:rsidP="004E28C0">
      <w:pPr>
        <w:spacing w:line="480" w:lineRule="auto"/>
        <w:ind w:firstLine="720"/>
      </w:pPr>
    </w:p>
    <w:p w:rsidR="004E28C0" w:rsidRDefault="004E28C0" w:rsidP="00EF4655">
      <w:pPr>
        <w:ind w:left="720" w:right="720"/>
      </w:pPr>
      <w:r>
        <w:t>Convicted of murder, Green was legally hanged on July 27, 1886, before a gathering of 15,000 to 20,000 people.  Popcorn and candy vendors worked the crowd, as men and women held children up and jostled one another to get a good view. (Leonard 2002:145).</w:t>
      </w:r>
    </w:p>
    <w:p w:rsidR="003C13E8" w:rsidRDefault="003C13E8" w:rsidP="004E28C0">
      <w:pPr>
        <w:spacing w:line="480" w:lineRule="auto"/>
        <w:ind w:firstLine="720"/>
      </w:pPr>
    </w:p>
    <w:p w:rsidR="004E28C0" w:rsidRDefault="004E28C0" w:rsidP="004E28C0">
      <w:pPr>
        <w:spacing w:line="480" w:lineRule="auto"/>
        <w:ind w:firstLine="720"/>
      </w:pPr>
      <w:r>
        <w:t>Here, however, the legal niceties of government supervision distinguish the execution from the Southern event of the Populist or Progressive era.</w:t>
      </w:r>
    </w:p>
    <w:p w:rsidR="004E28C0" w:rsidRPr="00617FF3" w:rsidRDefault="004E28C0" w:rsidP="00EF4655">
      <w:pPr>
        <w:ind w:firstLine="720"/>
      </w:pPr>
      <w:r w:rsidRPr="00617FF3">
        <w:t xml:space="preserve">The </w:t>
      </w:r>
      <w:r w:rsidRPr="00617FF3">
        <w:rPr>
          <w:i/>
        </w:rPr>
        <w:t>Springfield Daily Republican</w:t>
      </w:r>
      <w:r w:rsidRPr="00617FF3">
        <w:t xml:space="preserve"> of April 24, 1899, reports:</w:t>
      </w:r>
    </w:p>
    <w:p w:rsidR="004E28C0" w:rsidRPr="00617FF3" w:rsidRDefault="004E28C0" w:rsidP="00EF4655">
      <w:pPr>
        <w:ind w:left="720" w:right="720"/>
        <w:rPr>
          <w:rStyle w:val="QuoteChar"/>
        </w:rPr>
      </w:pPr>
      <w:r w:rsidRPr="00617FF3">
        <w:rPr>
          <w:rStyle w:val="QuoteChar"/>
        </w:rPr>
        <w:t>NEWNAN, Ga., Apr. 23 - Sam Holt</w:t>
      </w:r>
      <w:r w:rsidR="00343AEE">
        <w:rPr>
          <w:rStyle w:val="FootnoteReference"/>
          <w:rFonts w:ascii="Lucida Grande" w:eastAsia="ヒラギノ角ゴ Pro W3" w:hAnsi="Lucida Grande"/>
          <w:color w:val="000000"/>
          <w:sz w:val="22"/>
        </w:rPr>
        <w:footnoteReference w:id="10"/>
      </w:r>
      <w:r w:rsidRPr="00617FF3">
        <w:rPr>
          <w:rStyle w:val="QuoteChar"/>
        </w:rPr>
        <w:t xml:space="preserve"> </w:t>
      </w:r>
      <w:r>
        <w:rPr>
          <w:rStyle w:val="QuoteChar"/>
        </w:rPr>
        <w:t>was burned at the stake  …</w:t>
      </w:r>
      <w:r w:rsidRPr="00617FF3">
        <w:rPr>
          <w:rStyle w:val="QuoteChar"/>
        </w:rPr>
        <w:t xml:space="preserve"> near Newnan, Ga., this afternoon, in the presence of 2000 people. The black man was first tortured before being covered with oil and burned. An ex-governor of Georgia made a personal appeal to his townspeople to let the law take its course, but without the slightest avail. Before the torch was applied to the pyre, the Negro was deprived of his ears, fingers and genital parts of his body. He pleaded pitifully for his life while the mutilation was going on, but stood the ordeal of fire with surprising fortitude. Before the body was cool, it was cut to pieces. The bones were crushed into small bits, and even the tree upon which the wretch met his fate was torn up and disposed of as “souvenirs.” The Negro’s heart was cut into several pieces, as was also his liver. Those unable to obtain the ghastly relics directly paid their more fortunate possessors extravagant sums for them. Small pieces of bones went for 25 cents, and a bit of the liver crisply cooked sold for 10 cents. As soon as the Negro was seen to be dead there was a tremendous struggle among the crowd, which had witnessed his tragic end, to secure the souvenirs. A rush was made for the stake, and those near the body were forced against it and had to fight for their freedom. Knives were quickly produced and soon the body was dismembered. (Franzosi et al. forthcoming).</w:t>
      </w:r>
    </w:p>
    <w:p w:rsidR="004E28C0" w:rsidRDefault="004E28C0" w:rsidP="004E28C0">
      <w:pPr>
        <w:spacing w:line="480" w:lineRule="auto"/>
        <w:ind w:left="720" w:right="720"/>
        <w:rPr>
          <w:rStyle w:val="QuoteChar"/>
          <w:szCs w:val="22"/>
        </w:rPr>
      </w:pPr>
    </w:p>
    <w:p w:rsidR="004E28C0" w:rsidRDefault="004E28C0" w:rsidP="004E28C0">
      <w:pPr>
        <w:spacing w:line="480" w:lineRule="auto"/>
        <w:ind w:right="144"/>
        <w:rPr>
          <w:rStyle w:val="QuoteChar"/>
          <w:szCs w:val="22"/>
        </w:rPr>
      </w:pPr>
      <w:r>
        <w:rPr>
          <w:rStyle w:val="QuoteChar"/>
          <w:szCs w:val="22"/>
        </w:rPr>
        <w:lastRenderedPageBreak/>
        <w:tab/>
        <w:t xml:space="preserve">Contemporary Colorado lynching events were less common and generally less barbarous, but it is clear that the Western lynching was approaching the Southern event in that regard.  Consider the lynching of Italian, Daniel </w:t>
      </w:r>
      <w:proofErr w:type="spellStart"/>
      <w:r>
        <w:rPr>
          <w:rStyle w:val="QuoteChar"/>
          <w:szCs w:val="22"/>
        </w:rPr>
        <w:t>Arata</w:t>
      </w:r>
      <w:proofErr w:type="spellEnd"/>
      <w:r>
        <w:rPr>
          <w:rStyle w:val="QuoteChar"/>
          <w:szCs w:val="22"/>
        </w:rPr>
        <w:t>, in Denver in 1893.</w:t>
      </w:r>
    </w:p>
    <w:p w:rsidR="004E28C0" w:rsidRDefault="004E28C0" w:rsidP="00EF4655">
      <w:pPr>
        <w:ind w:left="720" w:right="720"/>
        <w:rPr>
          <w:rStyle w:val="QuoteChar"/>
          <w:szCs w:val="22"/>
        </w:rPr>
      </w:pPr>
      <w:r>
        <w:rPr>
          <w:rStyle w:val="QuoteChar"/>
          <w:szCs w:val="22"/>
        </w:rPr>
        <w:t>“We are going to lynch the Dago.”  … The mob grew to 10,000 and eventually, by some accounts, to 50,000—including women, leading citizens, and many other curious onlookers.  … He was taken to a nearby cottonwood tree and hanged, then shot four times.  When the rope broke, he fell into the gutter. “The crowd laughed and cheered and yelled, ‘Burn him; burn him, as they do in Texas.’”  [</w:t>
      </w:r>
      <w:proofErr w:type="gramStart"/>
      <w:r>
        <w:rPr>
          <w:rStyle w:val="QuoteChar"/>
          <w:szCs w:val="22"/>
        </w:rPr>
        <w:t>but</w:t>
      </w:r>
      <w:proofErr w:type="gramEnd"/>
      <w:r>
        <w:rPr>
          <w:rStyle w:val="QuoteChar"/>
          <w:szCs w:val="22"/>
        </w:rPr>
        <w:t xml:space="preserve"> instead they] rehanged him from a telegraph pole at Seventeenth and Curtis Streets.  Souvenir seekers hacked away at the bloody pole until 3:00 A.M.  (Leonard 2002:137-139).</w:t>
      </w:r>
    </w:p>
    <w:p w:rsidR="004E28C0" w:rsidRDefault="004E28C0" w:rsidP="004E28C0">
      <w:pPr>
        <w:spacing w:line="480" w:lineRule="auto"/>
      </w:pPr>
    </w:p>
    <w:p w:rsidR="004E28C0" w:rsidRDefault="004E28C0" w:rsidP="004E28C0">
      <w:pPr>
        <w:spacing w:line="480" w:lineRule="auto"/>
      </w:pPr>
      <w:r>
        <w:tab/>
        <w:t>Here it appears that even in the Yankee town of Denver, the genteel Queen City of the plains (Dorsett 1977),</w:t>
      </w:r>
      <w:r w:rsidR="003C13E8">
        <w:t xml:space="preserve"> </w:t>
      </w:r>
      <w:r>
        <w:t xml:space="preserve">lynching could approach the ferocity of Pueblo or even Texas, </w:t>
      </w:r>
      <w:r w:rsidR="00B04C68">
        <w:t xml:space="preserve">or </w:t>
      </w:r>
      <w:r>
        <w:t>even the horrors of Georgia.</w:t>
      </w:r>
      <w:r w:rsidR="008B2A8F">
        <w:t xml:space="preserve">  In fact, in Georgia in 18</w:t>
      </w:r>
      <w:r w:rsidR="003C13E8">
        <w:t xml:space="preserve">72, the Savannah </w:t>
      </w:r>
      <w:r w:rsidR="003C13E8" w:rsidRPr="008B2A8F">
        <w:rPr>
          <w:i/>
        </w:rPr>
        <w:t>Daily News and Tribune</w:t>
      </w:r>
      <w:r w:rsidR="003C13E8">
        <w:t xml:space="preserve"> editor was celebrating the vigilante justice of the West and the North while minimizing the need to protect Freedmen in the South and, in one case, advocating a return to the Good Old Days of burning rather than hanging black men.</w:t>
      </w:r>
    </w:p>
    <w:p w:rsidR="008E3577" w:rsidRDefault="008E3577" w:rsidP="008E3577">
      <w:pPr>
        <w:spacing w:line="480" w:lineRule="auto"/>
        <w:jc w:val="center"/>
      </w:pPr>
      <w:r>
        <w:rPr>
          <w:noProof/>
        </w:rPr>
        <w:drawing>
          <wp:inline distT="0" distB="0" distL="0" distR="0" wp14:anchorId="31034472" wp14:editId="65658D72">
            <wp:extent cx="3892483" cy="2103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2483" cy="2103120"/>
                    </a:xfrm>
                    <a:prstGeom prst="rect">
                      <a:avLst/>
                    </a:prstGeom>
                    <a:noFill/>
                    <a:ln>
                      <a:noFill/>
                    </a:ln>
                  </pic:spPr>
                </pic:pic>
              </a:graphicData>
            </a:graphic>
          </wp:inline>
        </w:drawing>
      </w:r>
    </w:p>
    <w:p w:rsidR="008E3577" w:rsidRPr="008E3577" w:rsidRDefault="008E3577" w:rsidP="008E3577">
      <w:pPr>
        <w:spacing w:line="480" w:lineRule="auto"/>
        <w:ind w:left="1440"/>
      </w:pPr>
      <w:r>
        <w:t xml:space="preserve">Source: Savannah </w:t>
      </w:r>
      <w:r w:rsidR="00331AEF">
        <w:rPr>
          <w:i/>
        </w:rPr>
        <w:t>Daily News and</w:t>
      </w:r>
      <w:r>
        <w:rPr>
          <w:i/>
        </w:rPr>
        <w:t xml:space="preserve"> Tribune</w:t>
      </w:r>
      <w:r>
        <w:t xml:space="preserve"> 10 December 1870, p. 2</w:t>
      </w:r>
    </w:p>
    <w:p w:rsidR="008E3577" w:rsidRDefault="008E3577" w:rsidP="004E28C0">
      <w:pPr>
        <w:spacing w:line="480" w:lineRule="auto"/>
      </w:pPr>
    </w:p>
    <w:p w:rsidR="004E28C0" w:rsidRDefault="004E28C0" w:rsidP="004E28C0">
      <w:pPr>
        <w:keepNext/>
        <w:spacing w:line="480" w:lineRule="auto"/>
      </w:pPr>
      <w:r w:rsidRPr="00212F37">
        <w:rPr>
          <w:u w:val="single"/>
        </w:rPr>
        <w:lastRenderedPageBreak/>
        <w:t>Non-Southern Lynching</w:t>
      </w:r>
    </w:p>
    <w:p w:rsidR="00EF4655" w:rsidRDefault="004E28C0" w:rsidP="008E3577">
      <w:pPr>
        <w:spacing w:line="480" w:lineRule="auto"/>
        <w:ind w:firstLine="720"/>
        <w:rPr>
          <w:b/>
        </w:rPr>
      </w:pPr>
      <w:r>
        <w:t>Pfeifer (forthcoming) offers data on lynching in several States in the Northeast, Midwest, and West (not including California, Colorado, or New Mexico)</w:t>
      </w:r>
      <w:r w:rsidR="00A2792C">
        <w:t>, 1837-1943</w:t>
      </w:r>
      <w:r>
        <w:t>.  Here too we see that there was an increase in racial (particular black) victimization during the Southern “lynching era” (b</w:t>
      </w:r>
      <w:r w:rsidR="00C979A1">
        <w:t>eginning in 1890), from 9% to 28</w:t>
      </w:r>
      <w:r>
        <w:t>%, with a corresponding decline</w:t>
      </w:r>
      <w:r w:rsidR="00C979A1">
        <w:t xml:space="preserve"> in whi</w:t>
      </w:r>
      <w:r w:rsidR="0084031B">
        <w:t>te victimization, from 77% to 61</w:t>
      </w:r>
      <w:r>
        <w:t>%.</w:t>
      </w:r>
    </w:p>
    <w:p w:rsidR="00950CE1" w:rsidRDefault="00950CE1" w:rsidP="00950CE1">
      <w:pPr>
        <w:jc w:val="center"/>
        <w:rPr>
          <w:b/>
        </w:rPr>
      </w:pPr>
      <w:r>
        <w:rPr>
          <w:b/>
        </w:rPr>
        <w:t>Table 3</w:t>
      </w:r>
    </w:p>
    <w:p w:rsidR="004E28C0" w:rsidRPr="006F5E68" w:rsidRDefault="004E28C0" w:rsidP="004E28C0">
      <w:pPr>
        <w:jc w:val="center"/>
        <w:rPr>
          <w:b/>
        </w:rPr>
      </w:pPr>
      <w:r w:rsidRPr="006F5E68">
        <w:rPr>
          <w:b/>
        </w:rPr>
        <w:t xml:space="preserve">Lynching Outside the South by Race </w:t>
      </w:r>
      <w:r w:rsidR="00E41964">
        <w:rPr>
          <w:b/>
        </w:rPr>
        <w:t xml:space="preserve">1837-1889 </w:t>
      </w:r>
      <w:r w:rsidRPr="006F5E68">
        <w:rPr>
          <w:b/>
        </w:rPr>
        <w:t xml:space="preserve">and </w:t>
      </w:r>
      <w:r w:rsidR="00E41964">
        <w:rPr>
          <w:b/>
        </w:rPr>
        <w:t xml:space="preserve">1890-1943 </w:t>
      </w:r>
      <w:r w:rsidRPr="006F5E68">
        <w:rPr>
          <w:b/>
        </w:rPr>
        <w:t>(N=578)</w:t>
      </w:r>
    </w:p>
    <w:p w:rsidR="004E28C0" w:rsidRDefault="004E28C0" w:rsidP="004E28C0"/>
    <w:tbl>
      <w:tblPr>
        <w:tblStyle w:val="TableGrid"/>
        <w:tblW w:w="0" w:type="auto"/>
        <w:jc w:val="center"/>
        <w:tblLook w:val="04A0" w:firstRow="1" w:lastRow="0" w:firstColumn="1" w:lastColumn="0" w:noHBand="0" w:noVBand="1"/>
      </w:tblPr>
      <w:tblGrid>
        <w:gridCol w:w="1998"/>
        <w:gridCol w:w="1029"/>
        <w:gridCol w:w="1002"/>
        <w:gridCol w:w="1119"/>
        <w:gridCol w:w="810"/>
        <w:gridCol w:w="1428"/>
        <w:gridCol w:w="990"/>
      </w:tblGrid>
      <w:tr w:rsidR="004E28C0" w:rsidTr="008E3577">
        <w:trPr>
          <w:jc w:val="center"/>
        </w:trPr>
        <w:tc>
          <w:tcPr>
            <w:tcW w:w="1998" w:type="dxa"/>
          </w:tcPr>
          <w:p w:rsidR="004E28C0" w:rsidRPr="006F5E68" w:rsidRDefault="004E28C0" w:rsidP="004E28C0">
            <w:pPr>
              <w:jc w:val="center"/>
              <w:rPr>
                <w:b/>
              </w:rPr>
            </w:pPr>
            <w:r w:rsidRPr="006F5E68">
              <w:rPr>
                <w:b/>
              </w:rPr>
              <w:t>Race</w:t>
            </w:r>
          </w:p>
        </w:tc>
        <w:tc>
          <w:tcPr>
            <w:tcW w:w="2031" w:type="dxa"/>
            <w:gridSpan w:val="2"/>
          </w:tcPr>
          <w:p w:rsidR="004E28C0" w:rsidRPr="006F5E68" w:rsidRDefault="00E41964" w:rsidP="004E28C0">
            <w:pPr>
              <w:jc w:val="center"/>
              <w:rPr>
                <w:b/>
              </w:rPr>
            </w:pPr>
            <w:r>
              <w:rPr>
                <w:b/>
              </w:rPr>
              <w:t>1837-1889</w:t>
            </w:r>
          </w:p>
        </w:tc>
        <w:tc>
          <w:tcPr>
            <w:tcW w:w="1929" w:type="dxa"/>
            <w:gridSpan w:val="2"/>
          </w:tcPr>
          <w:p w:rsidR="004E28C0" w:rsidRPr="006F5E68" w:rsidRDefault="00E41964" w:rsidP="004E28C0">
            <w:pPr>
              <w:jc w:val="center"/>
              <w:rPr>
                <w:b/>
              </w:rPr>
            </w:pPr>
            <w:r>
              <w:rPr>
                <w:b/>
              </w:rPr>
              <w:t>1890-1943</w:t>
            </w:r>
          </w:p>
        </w:tc>
        <w:tc>
          <w:tcPr>
            <w:tcW w:w="2418" w:type="dxa"/>
            <w:gridSpan w:val="2"/>
          </w:tcPr>
          <w:p w:rsidR="004E28C0" w:rsidRPr="006F5E68" w:rsidRDefault="004E28C0" w:rsidP="004E28C0">
            <w:pPr>
              <w:jc w:val="center"/>
              <w:rPr>
                <w:b/>
              </w:rPr>
            </w:pPr>
            <w:r>
              <w:rPr>
                <w:b/>
              </w:rPr>
              <w:t>Total</w:t>
            </w:r>
          </w:p>
        </w:tc>
      </w:tr>
      <w:tr w:rsidR="004E28C0" w:rsidTr="008E3577">
        <w:trPr>
          <w:jc w:val="center"/>
        </w:trPr>
        <w:tc>
          <w:tcPr>
            <w:tcW w:w="1998" w:type="dxa"/>
          </w:tcPr>
          <w:p w:rsidR="004E28C0" w:rsidRPr="006F5E68" w:rsidRDefault="004E28C0" w:rsidP="004E28C0">
            <w:pPr>
              <w:rPr>
                <w:b/>
              </w:rPr>
            </w:pPr>
          </w:p>
        </w:tc>
        <w:tc>
          <w:tcPr>
            <w:tcW w:w="1029" w:type="dxa"/>
          </w:tcPr>
          <w:p w:rsidR="004E28C0" w:rsidRPr="006F5E68" w:rsidRDefault="004E28C0" w:rsidP="004E28C0">
            <w:pPr>
              <w:jc w:val="center"/>
              <w:rPr>
                <w:b/>
              </w:rPr>
            </w:pPr>
            <w:r w:rsidRPr="006F5E68">
              <w:rPr>
                <w:b/>
              </w:rPr>
              <w:t>Percent</w:t>
            </w:r>
          </w:p>
        </w:tc>
        <w:tc>
          <w:tcPr>
            <w:tcW w:w="1002" w:type="dxa"/>
          </w:tcPr>
          <w:p w:rsidR="004E28C0" w:rsidRPr="006F5E68" w:rsidRDefault="004E28C0" w:rsidP="004E28C0">
            <w:pPr>
              <w:jc w:val="center"/>
              <w:rPr>
                <w:b/>
              </w:rPr>
            </w:pPr>
            <w:r w:rsidRPr="006F5E68">
              <w:rPr>
                <w:b/>
              </w:rPr>
              <w:t>N</w:t>
            </w:r>
          </w:p>
        </w:tc>
        <w:tc>
          <w:tcPr>
            <w:tcW w:w="1119" w:type="dxa"/>
          </w:tcPr>
          <w:p w:rsidR="004E28C0" w:rsidRPr="006F5E68" w:rsidRDefault="004E28C0" w:rsidP="004E28C0">
            <w:pPr>
              <w:jc w:val="center"/>
              <w:rPr>
                <w:b/>
              </w:rPr>
            </w:pPr>
            <w:r w:rsidRPr="006F5E68">
              <w:rPr>
                <w:b/>
              </w:rPr>
              <w:t>Percent</w:t>
            </w:r>
          </w:p>
        </w:tc>
        <w:tc>
          <w:tcPr>
            <w:tcW w:w="810" w:type="dxa"/>
          </w:tcPr>
          <w:p w:rsidR="004E28C0" w:rsidRPr="006F5E68" w:rsidRDefault="004E28C0" w:rsidP="004E28C0">
            <w:pPr>
              <w:jc w:val="center"/>
              <w:rPr>
                <w:b/>
              </w:rPr>
            </w:pPr>
            <w:r w:rsidRPr="006F5E68">
              <w:rPr>
                <w:b/>
              </w:rPr>
              <w:t>N</w:t>
            </w:r>
          </w:p>
        </w:tc>
        <w:tc>
          <w:tcPr>
            <w:tcW w:w="1428" w:type="dxa"/>
          </w:tcPr>
          <w:p w:rsidR="004E28C0" w:rsidRPr="006F5E68" w:rsidRDefault="004E28C0" w:rsidP="004E28C0">
            <w:pPr>
              <w:jc w:val="center"/>
              <w:rPr>
                <w:b/>
              </w:rPr>
            </w:pPr>
            <w:r>
              <w:rPr>
                <w:b/>
              </w:rPr>
              <w:t>Percent</w:t>
            </w:r>
          </w:p>
        </w:tc>
        <w:tc>
          <w:tcPr>
            <w:tcW w:w="990" w:type="dxa"/>
          </w:tcPr>
          <w:p w:rsidR="004E28C0" w:rsidRPr="006F5E68" w:rsidRDefault="004E28C0" w:rsidP="004E28C0">
            <w:pPr>
              <w:jc w:val="center"/>
              <w:rPr>
                <w:b/>
              </w:rPr>
            </w:pPr>
            <w:r>
              <w:rPr>
                <w:b/>
              </w:rPr>
              <w:t>N</w:t>
            </w:r>
          </w:p>
        </w:tc>
      </w:tr>
      <w:tr w:rsidR="004E28C0" w:rsidTr="008E3577">
        <w:trPr>
          <w:jc w:val="center"/>
        </w:trPr>
        <w:tc>
          <w:tcPr>
            <w:tcW w:w="1998" w:type="dxa"/>
          </w:tcPr>
          <w:p w:rsidR="004E28C0" w:rsidRPr="006F5E68" w:rsidRDefault="004E28C0" w:rsidP="004E28C0">
            <w:pPr>
              <w:rPr>
                <w:b/>
              </w:rPr>
            </w:pPr>
            <w:r w:rsidRPr="006F5E68">
              <w:rPr>
                <w:b/>
              </w:rPr>
              <w:t>Black</w:t>
            </w:r>
          </w:p>
        </w:tc>
        <w:tc>
          <w:tcPr>
            <w:tcW w:w="1029" w:type="dxa"/>
          </w:tcPr>
          <w:p w:rsidR="004E28C0" w:rsidRDefault="004E28C0" w:rsidP="004E28C0">
            <w:pPr>
              <w:tabs>
                <w:tab w:val="decimal" w:pos="522"/>
              </w:tabs>
            </w:pPr>
            <w:r>
              <w:t>9%</w:t>
            </w:r>
          </w:p>
        </w:tc>
        <w:tc>
          <w:tcPr>
            <w:tcW w:w="1002" w:type="dxa"/>
          </w:tcPr>
          <w:p w:rsidR="004E28C0" w:rsidRDefault="005E1ECF" w:rsidP="004E28C0">
            <w:pPr>
              <w:tabs>
                <w:tab w:val="decimal" w:pos="547"/>
              </w:tabs>
            </w:pPr>
            <w:r>
              <w:t>36</w:t>
            </w:r>
          </w:p>
        </w:tc>
        <w:tc>
          <w:tcPr>
            <w:tcW w:w="1119" w:type="dxa"/>
          </w:tcPr>
          <w:p w:rsidR="004E28C0" w:rsidRDefault="005E1ECF" w:rsidP="004E28C0">
            <w:pPr>
              <w:tabs>
                <w:tab w:val="decimal" w:pos="613"/>
              </w:tabs>
            </w:pPr>
            <w:r>
              <w:t>28</w:t>
            </w:r>
            <w:r w:rsidR="004E28C0">
              <w:t>%</w:t>
            </w:r>
          </w:p>
        </w:tc>
        <w:tc>
          <w:tcPr>
            <w:tcW w:w="810" w:type="dxa"/>
          </w:tcPr>
          <w:p w:rsidR="004E28C0" w:rsidRDefault="005E1ECF" w:rsidP="004E28C0">
            <w:pPr>
              <w:tabs>
                <w:tab w:val="decimal" w:pos="397"/>
              </w:tabs>
            </w:pPr>
            <w:r>
              <w:t>45</w:t>
            </w:r>
          </w:p>
        </w:tc>
        <w:tc>
          <w:tcPr>
            <w:tcW w:w="1428" w:type="dxa"/>
          </w:tcPr>
          <w:p w:rsidR="004E28C0" w:rsidRDefault="004E28C0" w:rsidP="004E28C0">
            <w:pPr>
              <w:tabs>
                <w:tab w:val="decimal" w:pos="613"/>
              </w:tabs>
            </w:pPr>
            <w:r>
              <w:t>14%</w:t>
            </w:r>
          </w:p>
        </w:tc>
        <w:tc>
          <w:tcPr>
            <w:tcW w:w="990" w:type="dxa"/>
          </w:tcPr>
          <w:p w:rsidR="004E28C0" w:rsidRDefault="004E28C0" w:rsidP="004E28C0">
            <w:pPr>
              <w:tabs>
                <w:tab w:val="decimal" w:pos="613"/>
              </w:tabs>
            </w:pPr>
            <w:r>
              <w:t>81</w:t>
            </w:r>
          </w:p>
        </w:tc>
      </w:tr>
      <w:tr w:rsidR="004E28C0" w:rsidTr="008E3577">
        <w:trPr>
          <w:jc w:val="center"/>
        </w:trPr>
        <w:tc>
          <w:tcPr>
            <w:tcW w:w="1998" w:type="dxa"/>
          </w:tcPr>
          <w:p w:rsidR="004E28C0" w:rsidRPr="006F5E68" w:rsidRDefault="004E28C0" w:rsidP="004E28C0">
            <w:pPr>
              <w:rPr>
                <w:b/>
              </w:rPr>
            </w:pPr>
            <w:r>
              <w:rPr>
                <w:b/>
              </w:rPr>
              <w:t>Chinese</w:t>
            </w:r>
          </w:p>
        </w:tc>
        <w:tc>
          <w:tcPr>
            <w:tcW w:w="1029" w:type="dxa"/>
          </w:tcPr>
          <w:p w:rsidR="004E28C0" w:rsidRDefault="004E28C0" w:rsidP="004E28C0">
            <w:pPr>
              <w:tabs>
                <w:tab w:val="decimal" w:pos="522"/>
              </w:tabs>
            </w:pPr>
            <w:r>
              <w:t>1%</w:t>
            </w:r>
          </w:p>
        </w:tc>
        <w:tc>
          <w:tcPr>
            <w:tcW w:w="1002" w:type="dxa"/>
          </w:tcPr>
          <w:p w:rsidR="004E28C0" w:rsidRDefault="004E28C0" w:rsidP="004E28C0">
            <w:pPr>
              <w:tabs>
                <w:tab w:val="decimal" w:pos="547"/>
              </w:tabs>
            </w:pPr>
            <w:r>
              <w:t>6</w:t>
            </w:r>
          </w:p>
        </w:tc>
        <w:tc>
          <w:tcPr>
            <w:tcW w:w="1119" w:type="dxa"/>
          </w:tcPr>
          <w:p w:rsidR="004E28C0" w:rsidRDefault="004E28C0" w:rsidP="004E28C0">
            <w:pPr>
              <w:tabs>
                <w:tab w:val="decimal" w:pos="613"/>
              </w:tabs>
            </w:pPr>
            <w:r>
              <w:t>1%</w:t>
            </w:r>
          </w:p>
        </w:tc>
        <w:tc>
          <w:tcPr>
            <w:tcW w:w="810" w:type="dxa"/>
          </w:tcPr>
          <w:p w:rsidR="004E28C0" w:rsidRDefault="004E28C0" w:rsidP="004E28C0">
            <w:pPr>
              <w:tabs>
                <w:tab w:val="decimal" w:pos="397"/>
              </w:tabs>
            </w:pPr>
            <w:r>
              <w:t>1</w:t>
            </w:r>
          </w:p>
        </w:tc>
        <w:tc>
          <w:tcPr>
            <w:tcW w:w="1428" w:type="dxa"/>
          </w:tcPr>
          <w:p w:rsidR="004E28C0" w:rsidRDefault="004E28C0" w:rsidP="004E28C0">
            <w:pPr>
              <w:tabs>
                <w:tab w:val="decimal" w:pos="613"/>
              </w:tabs>
            </w:pPr>
            <w:r>
              <w:t>1%</w:t>
            </w:r>
          </w:p>
        </w:tc>
        <w:tc>
          <w:tcPr>
            <w:tcW w:w="990" w:type="dxa"/>
          </w:tcPr>
          <w:p w:rsidR="004E28C0" w:rsidRDefault="004E28C0" w:rsidP="004E28C0">
            <w:pPr>
              <w:tabs>
                <w:tab w:val="decimal" w:pos="613"/>
              </w:tabs>
            </w:pPr>
            <w:r>
              <w:t>7</w:t>
            </w:r>
          </w:p>
        </w:tc>
      </w:tr>
      <w:tr w:rsidR="004E28C0" w:rsidTr="008E3577">
        <w:trPr>
          <w:jc w:val="center"/>
        </w:trPr>
        <w:tc>
          <w:tcPr>
            <w:tcW w:w="1998" w:type="dxa"/>
          </w:tcPr>
          <w:p w:rsidR="004E28C0" w:rsidRPr="006F5E68" w:rsidRDefault="004E28C0" w:rsidP="004E28C0">
            <w:pPr>
              <w:rPr>
                <w:b/>
              </w:rPr>
            </w:pPr>
            <w:r>
              <w:rPr>
                <w:b/>
              </w:rPr>
              <w:t>Latino</w:t>
            </w:r>
          </w:p>
        </w:tc>
        <w:tc>
          <w:tcPr>
            <w:tcW w:w="1029" w:type="dxa"/>
          </w:tcPr>
          <w:p w:rsidR="004E28C0" w:rsidRDefault="004E28C0" w:rsidP="004E28C0">
            <w:pPr>
              <w:tabs>
                <w:tab w:val="decimal" w:pos="522"/>
              </w:tabs>
            </w:pPr>
            <w:r>
              <w:t>5%</w:t>
            </w:r>
          </w:p>
        </w:tc>
        <w:tc>
          <w:tcPr>
            <w:tcW w:w="1002" w:type="dxa"/>
          </w:tcPr>
          <w:p w:rsidR="004E28C0" w:rsidRDefault="004E28C0" w:rsidP="004E28C0">
            <w:pPr>
              <w:tabs>
                <w:tab w:val="decimal" w:pos="547"/>
              </w:tabs>
            </w:pPr>
            <w:r>
              <w:t>21</w:t>
            </w:r>
          </w:p>
        </w:tc>
        <w:tc>
          <w:tcPr>
            <w:tcW w:w="1119" w:type="dxa"/>
          </w:tcPr>
          <w:p w:rsidR="004E28C0" w:rsidRDefault="004E28C0" w:rsidP="004E28C0">
            <w:pPr>
              <w:tabs>
                <w:tab w:val="decimal" w:pos="613"/>
              </w:tabs>
            </w:pPr>
            <w:r>
              <w:t>2%</w:t>
            </w:r>
          </w:p>
        </w:tc>
        <w:tc>
          <w:tcPr>
            <w:tcW w:w="810" w:type="dxa"/>
          </w:tcPr>
          <w:p w:rsidR="004E28C0" w:rsidRDefault="004E28C0" w:rsidP="004E28C0">
            <w:pPr>
              <w:tabs>
                <w:tab w:val="decimal" w:pos="397"/>
              </w:tabs>
            </w:pPr>
            <w:r>
              <w:t>3</w:t>
            </w:r>
          </w:p>
        </w:tc>
        <w:tc>
          <w:tcPr>
            <w:tcW w:w="1428" w:type="dxa"/>
          </w:tcPr>
          <w:p w:rsidR="004E28C0" w:rsidRDefault="004E28C0" w:rsidP="004E28C0">
            <w:pPr>
              <w:tabs>
                <w:tab w:val="decimal" w:pos="613"/>
              </w:tabs>
            </w:pPr>
            <w:r>
              <w:t>4%</w:t>
            </w:r>
          </w:p>
        </w:tc>
        <w:tc>
          <w:tcPr>
            <w:tcW w:w="990" w:type="dxa"/>
          </w:tcPr>
          <w:p w:rsidR="004E28C0" w:rsidRDefault="004E28C0" w:rsidP="004E28C0">
            <w:pPr>
              <w:tabs>
                <w:tab w:val="decimal" w:pos="613"/>
              </w:tabs>
            </w:pPr>
            <w:r>
              <w:t>24</w:t>
            </w:r>
          </w:p>
        </w:tc>
      </w:tr>
      <w:tr w:rsidR="004E28C0" w:rsidTr="008E3577">
        <w:trPr>
          <w:jc w:val="center"/>
        </w:trPr>
        <w:tc>
          <w:tcPr>
            <w:tcW w:w="1998" w:type="dxa"/>
          </w:tcPr>
          <w:p w:rsidR="004E28C0" w:rsidRPr="006F5E68" w:rsidRDefault="004E28C0" w:rsidP="004E28C0">
            <w:pPr>
              <w:rPr>
                <w:b/>
              </w:rPr>
            </w:pPr>
            <w:r>
              <w:rPr>
                <w:b/>
              </w:rPr>
              <w:t>Italian</w:t>
            </w:r>
          </w:p>
        </w:tc>
        <w:tc>
          <w:tcPr>
            <w:tcW w:w="1029" w:type="dxa"/>
          </w:tcPr>
          <w:p w:rsidR="004E28C0" w:rsidRDefault="004E28C0" w:rsidP="004E28C0">
            <w:pPr>
              <w:tabs>
                <w:tab w:val="decimal" w:pos="522"/>
              </w:tabs>
            </w:pPr>
            <w:r>
              <w:t>0%</w:t>
            </w:r>
          </w:p>
        </w:tc>
        <w:tc>
          <w:tcPr>
            <w:tcW w:w="1002" w:type="dxa"/>
          </w:tcPr>
          <w:p w:rsidR="004E28C0" w:rsidRDefault="004E28C0" w:rsidP="004E28C0">
            <w:pPr>
              <w:tabs>
                <w:tab w:val="decimal" w:pos="547"/>
              </w:tabs>
            </w:pPr>
            <w:r>
              <w:t>1</w:t>
            </w:r>
          </w:p>
        </w:tc>
        <w:tc>
          <w:tcPr>
            <w:tcW w:w="1119" w:type="dxa"/>
          </w:tcPr>
          <w:p w:rsidR="004E28C0" w:rsidRDefault="004E28C0" w:rsidP="004E28C0">
            <w:pPr>
              <w:tabs>
                <w:tab w:val="decimal" w:pos="613"/>
              </w:tabs>
            </w:pPr>
            <w:r>
              <w:t>1%</w:t>
            </w:r>
          </w:p>
        </w:tc>
        <w:tc>
          <w:tcPr>
            <w:tcW w:w="810" w:type="dxa"/>
          </w:tcPr>
          <w:p w:rsidR="004E28C0" w:rsidRDefault="004E28C0" w:rsidP="004E28C0">
            <w:pPr>
              <w:tabs>
                <w:tab w:val="decimal" w:pos="397"/>
              </w:tabs>
            </w:pPr>
            <w:r>
              <w:t>2</w:t>
            </w:r>
          </w:p>
        </w:tc>
        <w:tc>
          <w:tcPr>
            <w:tcW w:w="1428" w:type="dxa"/>
          </w:tcPr>
          <w:p w:rsidR="004E28C0" w:rsidRDefault="004E28C0" w:rsidP="004E28C0">
            <w:pPr>
              <w:tabs>
                <w:tab w:val="decimal" w:pos="613"/>
              </w:tabs>
            </w:pPr>
            <w:r>
              <w:t>1%</w:t>
            </w:r>
          </w:p>
        </w:tc>
        <w:tc>
          <w:tcPr>
            <w:tcW w:w="990" w:type="dxa"/>
          </w:tcPr>
          <w:p w:rsidR="004E28C0" w:rsidRDefault="004E28C0" w:rsidP="004E28C0">
            <w:pPr>
              <w:tabs>
                <w:tab w:val="decimal" w:pos="613"/>
              </w:tabs>
            </w:pPr>
            <w:r>
              <w:t>3</w:t>
            </w:r>
          </w:p>
        </w:tc>
      </w:tr>
      <w:tr w:rsidR="004E28C0" w:rsidTr="008E3577">
        <w:trPr>
          <w:jc w:val="center"/>
        </w:trPr>
        <w:tc>
          <w:tcPr>
            <w:tcW w:w="1998" w:type="dxa"/>
          </w:tcPr>
          <w:p w:rsidR="004E28C0" w:rsidRPr="006F5E68" w:rsidRDefault="004E28C0" w:rsidP="004E28C0">
            <w:pPr>
              <w:rPr>
                <w:b/>
              </w:rPr>
            </w:pPr>
            <w:r>
              <w:rPr>
                <w:b/>
              </w:rPr>
              <w:t>Japanese</w:t>
            </w:r>
          </w:p>
        </w:tc>
        <w:tc>
          <w:tcPr>
            <w:tcW w:w="1029" w:type="dxa"/>
          </w:tcPr>
          <w:p w:rsidR="004E28C0" w:rsidRDefault="005E1ECF" w:rsidP="004E28C0">
            <w:pPr>
              <w:tabs>
                <w:tab w:val="decimal" w:pos="522"/>
              </w:tabs>
            </w:pPr>
            <w:r>
              <w:t>0</w:t>
            </w:r>
            <w:r w:rsidR="004E28C0">
              <w:t>%</w:t>
            </w:r>
          </w:p>
        </w:tc>
        <w:tc>
          <w:tcPr>
            <w:tcW w:w="1002" w:type="dxa"/>
          </w:tcPr>
          <w:p w:rsidR="004E28C0" w:rsidRDefault="004E28C0" w:rsidP="004E28C0">
            <w:pPr>
              <w:tabs>
                <w:tab w:val="decimal" w:pos="547"/>
              </w:tabs>
            </w:pPr>
            <w:r>
              <w:t>2</w:t>
            </w:r>
          </w:p>
        </w:tc>
        <w:tc>
          <w:tcPr>
            <w:tcW w:w="1119" w:type="dxa"/>
          </w:tcPr>
          <w:p w:rsidR="004E28C0" w:rsidRDefault="004E28C0" w:rsidP="004E28C0">
            <w:pPr>
              <w:tabs>
                <w:tab w:val="decimal" w:pos="613"/>
              </w:tabs>
            </w:pPr>
            <w:r>
              <w:t>-</w:t>
            </w:r>
          </w:p>
        </w:tc>
        <w:tc>
          <w:tcPr>
            <w:tcW w:w="810" w:type="dxa"/>
          </w:tcPr>
          <w:p w:rsidR="004E28C0" w:rsidRDefault="004E28C0" w:rsidP="004E28C0">
            <w:pPr>
              <w:tabs>
                <w:tab w:val="decimal" w:pos="397"/>
              </w:tabs>
            </w:pPr>
            <w:r>
              <w:t>0</w:t>
            </w:r>
          </w:p>
        </w:tc>
        <w:tc>
          <w:tcPr>
            <w:tcW w:w="1428" w:type="dxa"/>
          </w:tcPr>
          <w:p w:rsidR="004E28C0" w:rsidRDefault="004E28C0" w:rsidP="004E28C0">
            <w:pPr>
              <w:tabs>
                <w:tab w:val="decimal" w:pos="613"/>
              </w:tabs>
            </w:pPr>
            <w:r>
              <w:t>0%</w:t>
            </w:r>
          </w:p>
        </w:tc>
        <w:tc>
          <w:tcPr>
            <w:tcW w:w="990" w:type="dxa"/>
          </w:tcPr>
          <w:p w:rsidR="004E28C0" w:rsidRDefault="004E28C0" w:rsidP="004E28C0">
            <w:pPr>
              <w:tabs>
                <w:tab w:val="decimal" w:pos="613"/>
              </w:tabs>
            </w:pPr>
            <w:r>
              <w:t>2</w:t>
            </w:r>
          </w:p>
        </w:tc>
      </w:tr>
      <w:tr w:rsidR="004E28C0" w:rsidTr="008E3577">
        <w:trPr>
          <w:jc w:val="center"/>
        </w:trPr>
        <w:tc>
          <w:tcPr>
            <w:tcW w:w="1998" w:type="dxa"/>
          </w:tcPr>
          <w:p w:rsidR="004E28C0" w:rsidRPr="006F5E68" w:rsidRDefault="004E28C0" w:rsidP="004E28C0">
            <w:pPr>
              <w:rPr>
                <w:b/>
              </w:rPr>
            </w:pPr>
            <w:r>
              <w:rPr>
                <w:b/>
              </w:rPr>
              <w:t>Native American</w:t>
            </w:r>
          </w:p>
        </w:tc>
        <w:tc>
          <w:tcPr>
            <w:tcW w:w="1029" w:type="dxa"/>
          </w:tcPr>
          <w:p w:rsidR="004E28C0" w:rsidRDefault="004E28C0" w:rsidP="004E28C0">
            <w:pPr>
              <w:tabs>
                <w:tab w:val="decimal" w:pos="522"/>
              </w:tabs>
            </w:pPr>
            <w:r>
              <w:t>6%</w:t>
            </w:r>
          </w:p>
        </w:tc>
        <w:tc>
          <w:tcPr>
            <w:tcW w:w="1002" w:type="dxa"/>
          </w:tcPr>
          <w:p w:rsidR="004E28C0" w:rsidRDefault="004E28C0" w:rsidP="004E28C0">
            <w:pPr>
              <w:tabs>
                <w:tab w:val="decimal" w:pos="547"/>
              </w:tabs>
            </w:pPr>
            <w:r>
              <w:t>26</w:t>
            </w:r>
          </w:p>
        </w:tc>
        <w:tc>
          <w:tcPr>
            <w:tcW w:w="1119" w:type="dxa"/>
          </w:tcPr>
          <w:p w:rsidR="004E28C0" w:rsidRDefault="005E1ECF" w:rsidP="004E28C0">
            <w:pPr>
              <w:tabs>
                <w:tab w:val="decimal" w:pos="613"/>
              </w:tabs>
            </w:pPr>
            <w:r>
              <w:t>7</w:t>
            </w:r>
            <w:r w:rsidR="004E28C0">
              <w:t>%</w:t>
            </w:r>
          </w:p>
        </w:tc>
        <w:tc>
          <w:tcPr>
            <w:tcW w:w="810" w:type="dxa"/>
          </w:tcPr>
          <w:p w:rsidR="004E28C0" w:rsidRDefault="004E28C0" w:rsidP="004E28C0">
            <w:pPr>
              <w:tabs>
                <w:tab w:val="decimal" w:pos="397"/>
              </w:tabs>
            </w:pPr>
            <w:r>
              <w:t>11</w:t>
            </w:r>
          </w:p>
        </w:tc>
        <w:tc>
          <w:tcPr>
            <w:tcW w:w="1428" w:type="dxa"/>
          </w:tcPr>
          <w:p w:rsidR="004E28C0" w:rsidRDefault="004E28C0" w:rsidP="004E28C0">
            <w:pPr>
              <w:tabs>
                <w:tab w:val="decimal" w:pos="613"/>
              </w:tabs>
            </w:pPr>
            <w:r>
              <w:t>6%</w:t>
            </w:r>
          </w:p>
        </w:tc>
        <w:tc>
          <w:tcPr>
            <w:tcW w:w="990" w:type="dxa"/>
          </w:tcPr>
          <w:p w:rsidR="004E28C0" w:rsidRDefault="004E28C0" w:rsidP="004E28C0">
            <w:pPr>
              <w:tabs>
                <w:tab w:val="decimal" w:pos="613"/>
              </w:tabs>
            </w:pPr>
            <w:r>
              <w:t>37</w:t>
            </w:r>
          </w:p>
        </w:tc>
      </w:tr>
      <w:tr w:rsidR="004E28C0" w:rsidTr="008E3577">
        <w:trPr>
          <w:jc w:val="center"/>
        </w:trPr>
        <w:tc>
          <w:tcPr>
            <w:tcW w:w="1998" w:type="dxa"/>
          </w:tcPr>
          <w:p w:rsidR="004E28C0" w:rsidRPr="006F5E68" w:rsidRDefault="004E28C0" w:rsidP="004E28C0">
            <w:pPr>
              <w:rPr>
                <w:b/>
              </w:rPr>
            </w:pPr>
            <w:r>
              <w:rPr>
                <w:b/>
              </w:rPr>
              <w:t>Unknown</w:t>
            </w:r>
          </w:p>
        </w:tc>
        <w:tc>
          <w:tcPr>
            <w:tcW w:w="1029" w:type="dxa"/>
          </w:tcPr>
          <w:p w:rsidR="004E28C0" w:rsidRDefault="004E28C0" w:rsidP="004E28C0">
            <w:pPr>
              <w:tabs>
                <w:tab w:val="decimal" w:pos="522"/>
              </w:tabs>
            </w:pPr>
            <w:r>
              <w:t>1%</w:t>
            </w:r>
          </w:p>
        </w:tc>
        <w:tc>
          <w:tcPr>
            <w:tcW w:w="1002" w:type="dxa"/>
          </w:tcPr>
          <w:p w:rsidR="004E28C0" w:rsidRDefault="004E28C0" w:rsidP="004E28C0">
            <w:pPr>
              <w:tabs>
                <w:tab w:val="decimal" w:pos="547"/>
              </w:tabs>
            </w:pPr>
            <w:r>
              <w:t>5</w:t>
            </w:r>
          </w:p>
        </w:tc>
        <w:tc>
          <w:tcPr>
            <w:tcW w:w="1119" w:type="dxa"/>
          </w:tcPr>
          <w:p w:rsidR="004E28C0" w:rsidRDefault="004E28C0" w:rsidP="004E28C0">
            <w:pPr>
              <w:tabs>
                <w:tab w:val="decimal" w:pos="613"/>
              </w:tabs>
            </w:pPr>
            <w:r>
              <w:t>1%</w:t>
            </w:r>
          </w:p>
        </w:tc>
        <w:tc>
          <w:tcPr>
            <w:tcW w:w="810" w:type="dxa"/>
          </w:tcPr>
          <w:p w:rsidR="004E28C0" w:rsidRDefault="004E28C0" w:rsidP="004E28C0">
            <w:pPr>
              <w:tabs>
                <w:tab w:val="decimal" w:pos="397"/>
              </w:tabs>
            </w:pPr>
            <w:r>
              <w:t>1</w:t>
            </w:r>
          </w:p>
        </w:tc>
        <w:tc>
          <w:tcPr>
            <w:tcW w:w="1428" w:type="dxa"/>
          </w:tcPr>
          <w:p w:rsidR="004E28C0" w:rsidRDefault="004E28C0" w:rsidP="004E28C0">
            <w:pPr>
              <w:tabs>
                <w:tab w:val="decimal" w:pos="613"/>
              </w:tabs>
            </w:pPr>
            <w:r>
              <w:t>1%</w:t>
            </w:r>
          </w:p>
        </w:tc>
        <w:tc>
          <w:tcPr>
            <w:tcW w:w="990" w:type="dxa"/>
          </w:tcPr>
          <w:p w:rsidR="004E28C0" w:rsidRDefault="004E28C0" w:rsidP="004E28C0">
            <w:pPr>
              <w:tabs>
                <w:tab w:val="decimal" w:pos="613"/>
              </w:tabs>
            </w:pPr>
            <w:r>
              <w:t>6</w:t>
            </w:r>
          </w:p>
        </w:tc>
      </w:tr>
      <w:tr w:rsidR="004E28C0" w:rsidTr="008E3577">
        <w:trPr>
          <w:jc w:val="center"/>
        </w:trPr>
        <w:tc>
          <w:tcPr>
            <w:tcW w:w="1998" w:type="dxa"/>
          </w:tcPr>
          <w:p w:rsidR="004E28C0" w:rsidRPr="006F5E68" w:rsidRDefault="004E28C0" w:rsidP="004E28C0">
            <w:pPr>
              <w:rPr>
                <w:b/>
              </w:rPr>
            </w:pPr>
            <w:r>
              <w:rPr>
                <w:b/>
              </w:rPr>
              <w:t>White</w:t>
            </w:r>
          </w:p>
        </w:tc>
        <w:tc>
          <w:tcPr>
            <w:tcW w:w="1029" w:type="dxa"/>
          </w:tcPr>
          <w:p w:rsidR="004E28C0" w:rsidRDefault="005E1ECF" w:rsidP="004E28C0">
            <w:pPr>
              <w:tabs>
                <w:tab w:val="decimal" w:pos="522"/>
              </w:tabs>
            </w:pPr>
            <w:r>
              <w:t>77</w:t>
            </w:r>
            <w:r w:rsidR="004E28C0">
              <w:t>%</w:t>
            </w:r>
          </w:p>
        </w:tc>
        <w:tc>
          <w:tcPr>
            <w:tcW w:w="1002" w:type="dxa"/>
          </w:tcPr>
          <w:p w:rsidR="004E28C0" w:rsidRDefault="005E1ECF" w:rsidP="004E28C0">
            <w:pPr>
              <w:tabs>
                <w:tab w:val="decimal" w:pos="547"/>
              </w:tabs>
            </w:pPr>
            <w:r>
              <w:t>321</w:t>
            </w:r>
          </w:p>
        </w:tc>
        <w:tc>
          <w:tcPr>
            <w:tcW w:w="1119" w:type="dxa"/>
          </w:tcPr>
          <w:p w:rsidR="004E28C0" w:rsidRDefault="00BF165D" w:rsidP="004E28C0">
            <w:pPr>
              <w:tabs>
                <w:tab w:val="decimal" w:pos="613"/>
              </w:tabs>
            </w:pPr>
            <w:r>
              <w:t>61</w:t>
            </w:r>
            <w:r w:rsidR="004E28C0">
              <w:t>%</w:t>
            </w:r>
          </w:p>
        </w:tc>
        <w:tc>
          <w:tcPr>
            <w:tcW w:w="810" w:type="dxa"/>
          </w:tcPr>
          <w:p w:rsidR="004E28C0" w:rsidRDefault="005E1ECF" w:rsidP="004E28C0">
            <w:pPr>
              <w:tabs>
                <w:tab w:val="decimal" w:pos="397"/>
              </w:tabs>
            </w:pPr>
            <w:r>
              <w:t>97</w:t>
            </w:r>
          </w:p>
        </w:tc>
        <w:tc>
          <w:tcPr>
            <w:tcW w:w="1428" w:type="dxa"/>
          </w:tcPr>
          <w:p w:rsidR="004E28C0" w:rsidRDefault="004E28C0" w:rsidP="004E28C0">
            <w:pPr>
              <w:tabs>
                <w:tab w:val="decimal" w:pos="613"/>
              </w:tabs>
            </w:pPr>
            <w:r>
              <w:t>73%</w:t>
            </w:r>
          </w:p>
        </w:tc>
        <w:tc>
          <w:tcPr>
            <w:tcW w:w="990" w:type="dxa"/>
          </w:tcPr>
          <w:p w:rsidR="004E28C0" w:rsidRDefault="004E28C0" w:rsidP="004E28C0">
            <w:pPr>
              <w:tabs>
                <w:tab w:val="decimal" w:pos="613"/>
              </w:tabs>
            </w:pPr>
            <w:r>
              <w:t>418</w:t>
            </w:r>
          </w:p>
        </w:tc>
      </w:tr>
      <w:tr w:rsidR="004E28C0" w:rsidTr="008E3577">
        <w:trPr>
          <w:jc w:val="center"/>
        </w:trPr>
        <w:tc>
          <w:tcPr>
            <w:tcW w:w="1998" w:type="dxa"/>
          </w:tcPr>
          <w:p w:rsidR="004E28C0" w:rsidRPr="006F5E68" w:rsidRDefault="004E28C0" w:rsidP="004E28C0">
            <w:pPr>
              <w:rPr>
                <w:b/>
              </w:rPr>
            </w:pPr>
          </w:p>
        </w:tc>
        <w:tc>
          <w:tcPr>
            <w:tcW w:w="1029" w:type="dxa"/>
          </w:tcPr>
          <w:p w:rsidR="004E28C0" w:rsidRDefault="004E28C0" w:rsidP="004E28C0">
            <w:pPr>
              <w:tabs>
                <w:tab w:val="decimal" w:pos="522"/>
              </w:tabs>
            </w:pPr>
          </w:p>
        </w:tc>
        <w:tc>
          <w:tcPr>
            <w:tcW w:w="1002" w:type="dxa"/>
          </w:tcPr>
          <w:p w:rsidR="004E28C0" w:rsidRDefault="004E28C0" w:rsidP="004E28C0">
            <w:pPr>
              <w:tabs>
                <w:tab w:val="decimal" w:pos="483"/>
              </w:tabs>
            </w:pPr>
          </w:p>
        </w:tc>
        <w:tc>
          <w:tcPr>
            <w:tcW w:w="1119" w:type="dxa"/>
          </w:tcPr>
          <w:p w:rsidR="004E28C0" w:rsidRDefault="004E28C0" w:rsidP="004E28C0">
            <w:pPr>
              <w:tabs>
                <w:tab w:val="decimal" w:pos="613"/>
              </w:tabs>
            </w:pPr>
          </w:p>
        </w:tc>
        <w:tc>
          <w:tcPr>
            <w:tcW w:w="810" w:type="dxa"/>
          </w:tcPr>
          <w:p w:rsidR="004E28C0" w:rsidRDefault="004E28C0" w:rsidP="004E28C0">
            <w:pPr>
              <w:tabs>
                <w:tab w:val="decimal" w:pos="397"/>
              </w:tabs>
            </w:pPr>
          </w:p>
        </w:tc>
        <w:tc>
          <w:tcPr>
            <w:tcW w:w="1428" w:type="dxa"/>
          </w:tcPr>
          <w:p w:rsidR="004E28C0" w:rsidRDefault="004E28C0" w:rsidP="004E28C0">
            <w:pPr>
              <w:tabs>
                <w:tab w:val="decimal" w:pos="613"/>
              </w:tabs>
            </w:pPr>
          </w:p>
        </w:tc>
        <w:tc>
          <w:tcPr>
            <w:tcW w:w="990" w:type="dxa"/>
          </w:tcPr>
          <w:p w:rsidR="004E28C0" w:rsidRDefault="004E28C0" w:rsidP="004E28C0">
            <w:pPr>
              <w:tabs>
                <w:tab w:val="decimal" w:pos="613"/>
              </w:tabs>
            </w:pPr>
          </w:p>
        </w:tc>
      </w:tr>
      <w:tr w:rsidR="004E28C0" w:rsidTr="008E3577">
        <w:trPr>
          <w:jc w:val="center"/>
        </w:trPr>
        <w:tc>
          <w:tcPr>
            <w:tcW w:w="1998" w:type="dxa"/>
          </w:tcPr>
          <w:p w:rsidR="004E28C0" w:rsidRPr="006F5E68" w:rsidRDefault="004E28C0" w:rsidP="004E28C0">
            <w:pPr>
              <w:rPr>
                <w:b/>
              </w:rPr>
            </w:pPr>
            <w:r>
              <w:rPr>
                <w:b/>
              </w:rPr>
              <w:t>Total</w:t>
            </w:r>
          </w:p>
        </w:tc>
        <w:tc>
          <w:tcPr>
            <w:tcW w:w="1029" w:type="dxa"/>
          </w:tcPr>
          <w:p w:rsidR="004E28C0" w:rsidRDefault="004E28C0" w:rsidP="004E28C0">
            <w:pPr>
              <w:tabs>
                <w:tab w:val="decimal" w:pos="522"/>
              </w:tabs>
            </w:pPr>
          </w:p>
        </w:tc>
        <w:tc>
          <w:tcPr>
            <w:tcW w:w="1002" w:type="dxa"/>
          </w:tcPr>
          <w:p w:rsidR="004E28C0" w:rsidRDefault="005E1ECF" w:rsidP="004E28C0">
            <w:pPr>
              <w:tabs>
                <w:tab w:val="decimal" w:pos="573"/>
              </w:tabs>
            </w:pPr>
            <w:r>
              <w:t>418</w:t>
            </w:r>
          </w:p>
        </w:tc>
        <w:tc>
          <w:tcPr>
            <w:tcW w:w="1119" w:type="dxa"/>
          </w:tcPr>
          <w:p w:rsidR="004E28C0" w:rsidRDefault="004E28C0" w:rsidP="004E28C0">
            <w:pPr>
              <w:tabs>
                <w:tab w:val="decimal" w:pos="613"/>
              </w:tabs>
            </w:pPr>
          </w:p>
        </w:tc>
        <w:tc>
          <w:tcPr>
            <w:tcW w:w="810" w:type="dxa"/>
          </w:tcPr>
          <w:p w:rsidR="004E28C0" w:rsidRDefault="005E1ECF" w:rsidP="004E28C0">
            <w:pPr>
              <w:tabs>
                <w:tab w:val="decimal" w:pos="397"/>
              </w:tabs>
            </w:pPr>
            <w:r>
              <w:t>160</w:t>
            </w:r>
          </w:p>
        </w:tc>
        <w:tc>
          <w:tcPr>
            <w:tcW w:w="1428" w:type="dxa"/>
          </w:tcPr>
          <w:p w:rsidR="004E28C0" w:rsidRDefault="004E28C0" w:rsidP="004E28C0">
            <w:pPr>
              <w:tabs>
                <w:tab w:val="decimal" w:pos="613"/>
              </w:tabs>
            </w:pPr>
          </w:p>
        </w:tc>
        <w:tc>
          <w:tcPr>
            <w:tcW w:w="990" w:type="dxa"/>
          </w:tcPr>
          <w:p w:rsidR="004E28C0" w:rsidRDefault="004E28C0" w:rsidP="004E28C0">
            <w:pPr>
              <w:tabs>
                <w:tab w:val="decimal" w:pos="613"/>
              </w:tabs>
            </w:pPr>
            <w:r>
              <w:t>578</w:t>
            </w:r>
          </w:p>
        </w:tc>
      </w:tr>
    </w:tbl>
    <w:p w:rsidR="004E28C0" w:rsidRDefault="004E28C0" w:rsidP="004E28C0"/>
    <w:p w:rsidR="004E28C0" w:rsidRDefault="004E28C0" w:rsidP="004E28C0">
      <w:r>
        <w:t xml:space="preserve">Source: Pfeifer </w:t>
      </w:r>
      <w:r w:rsidR="0084031B">
        <w:t>(forthcoming)</w:t>
      </w:r>
    </w:p>
    <w:p w:rsidR="002E4AB0" w:rsidRDefault="002E4AB0" w:rsidP="00F85721">
      <w:pPr>
        <w:spacing w:line="480" w:lineRule="auto"/>
        <w:ind w:firstLine="720"/>
      </w:pPr>
    </w:p>
    <w:p w:rsidR="004E28C0" w:rsidRDefault="004E28C0" w:rsidP="00F85721">
      <w:pPr>
        <w:spacing w:line="480" w:lineRule="auto"/>
        <w:ind w:firstLine="720"/>
      </w:pPr>
      <w:r>
        <w:t xml:space="preserve">There is also some evidence of increasing barbarism.  </w:t>
      </w:r>
      <w:r w:rsidR="00895AC2">
        <w:t>Torture (other than shooting or hanging) increase</w:t>
      </w:r>
      <w:r w:rsidR="00F85721">
        <w:t>d</w:t>
      </w:r>
      <w:r w:rsidR="00895AC2">
        <w:t xml:space="preserve"> from </w:t>
      </w:r>
      <w:r w:rsidR="0084031B">
        <w:t>3</w:t>
      </w:r>
      <w:r>
        <w:t>% before 1890 to 12% after 1889.</w:t>
      </w:r>
      <w:r w:rsidR="00F85721">
        <w:t xml:space="preserve">  The increase in beating, burning, and mutilation is most pronounced.</w:t>
      </w:r>
      <w:r>
        <w:t xml:space="preserve">  </w:t>
      </w:r>
    </w:p>
    <w:p w:rsidR="00950CE1" w:rsidRDefault="00950CE1" w:rsidP="0084031B">
      <w:pPr>
        <w:keepNext/>
        <w:jc w:val="center"/>
        <w:rPr>
          <w:b/>
        </w:rPr>
      </w:pPr>
      <w:r>
        <w:rPr>
          <w:b/>
        </w:rPr>
        <w:lastRenderedPageBreak/>
        <w:t>Table 4</w:t>
      </w:r>
    </w:p>
    <w:p w:rsidR="004E28C0" w:rsidRPr="006F5E68" w:rsidRDefault="004E28C0" w:rsidP="0084031B">
      <w:pPr>
        <w:keepNext/>
        <w:jc w:val="center"/>
        <w:rPr>
          <w:b/>
        </w:rPr>
      </w:pPr>
      <w:r w:rsidRPr="006F5E68">
        <w:rPr>
          <w:b/>
        </w:rPr>
        <w:t xml:space="preserve">Lynching Outside the South by </w:t>
      </w:r>
      <w:r>
        <w:rPr>
          <w:b/>
        </w:rPr>
        <w:t>Method</w:t>
      </w:r>
      <w:r w:rsidRPr="006F5E68">
        <w:rPr>
          <w:b/>
        </w:rPr>
        <w:t xml:space="preserve"> </w:t>
      </w:r>
      <w:r w:rsidR="004964DC">
        <w:rPr>
          <w:b/>
        </w:rPr>
        <w:t xml:space="preserve">1837-1889 </w:t>
      </w:r>
      <w:r w:rsidRPr="006F5E68">
        <w:rPr>
          <w:b/>
        </w:rPr>
        <w:t xml:space="preserve">and </w:t>
      </w:r>
      <w:r w:rsidR="004964DC">
        <w:rPr>
          <w:b/>
        </w:rPr>
        <w:t xml:space="preserve">1890-1943 </w:t>
      </w:r>
      <w:r w:rsidRPr="006F5E68">
        <w:rPr>
          <w:b/>
        </w:rPr>
        <w:t>(N=578)</w:t>
      </w:r>
    </w:p>
    <w:p w:rsidR="004E28C0" w:rsidRDefault="004E28C0" w:rsidP="0084031B">
      <w:pPr>
        <w:keepNext/>
      </w:pPr>
    </w:p>
    <w:tbl>
      <w:tblPr>
        <w:tblStyle w:val="TableGrid"/>
        <w:tblW w:w="0" w:type="auto"/>
        <w:jc w:val="center"/>
        <w:tblLook w:val="04A0" w:firstRow="1" w:lastRow="0" w:firstColumn="1" w:lastColumn="0" w:noHBand="0" w:noVBand="1"/>
      </w:tblPr>
      <w:tblGrid>
        <w:gridCol w:w="1998"/>
        <w:gridCol w:w="1029"/>
        <w:gridCol w:w="1002"/>
        <w:gridCol w:w="1119"/>
        <w:gridCol w:w="810"/>
        <w:gridCol w:w="1428"/>
        <w:gridCol w:w="990"/>
      </w:tblGrid>
      <w:tr w:rsidR="004E28C0" w:rsidTr="00844638">
        <w:trPr>
          <w:jc w:val="center"/>
        </w:trPr>
        <w:tc>
          <w:tcPr>
            <w:tcW w:w="1998" w:type="dxa"/>
          </w:tcPr>
          <w:p w:rsidR="004E28C0" w:rsidRPr="006F5E68" w:rsidRDefault="004E28C0" w:rsidP="0084031B">
            <w:pPr>
              <w:keepNext/>
              <w:rPr>
                <w:b/>
              </w:rPr>
            </w:pPr>
            <w:r>
              <w:rPr>
                <w:b/>
              </w:rPr>
              <w:t>Method*</w:t>
            </w:r>
          </w:p>
        </w:tc>
        <w:tc>
          <w:tcPr>
            <w:tcW w:w="2031" w:type="dxa"/>
            <w:gridSpan w:val="2"/>
          </w:tcPr>
          <w:p w:rsidR="004E28C0" w:rsidRPr="006F5E68" w:rsidRDefault="004964DC" w:rsidP="0084031B">
            <w:pPr>
              <w:keepNext/>
              <w:jc w:val="center"/>
              <w:rPr>
                <w:b/>
              </w:rPr>
            </w:pPr>
            <w:r>
              <w:rPr>
                <w:b/>
              </w:rPr>
              <w:t>1837-1889</w:t>
            </w:r>
          </w:p>
        </w:tc>
        <w:tc>
          <w:tcPr>
            <w:tcW w:w="1929" w:type="dxa"/>
            <w:gridSpan w:val="2"/>
          </w:tcPr>
          <w:p w:rsidR="004E28C0" w:rsidRPr="006F5E68" w:rsidRDefault="004964DC" w:rsidP="0084031B">
            <w:pPr>
              <w:keepNext/>
              <w:jc w:val="center"/>
              <w:rPr>
                <w:b/>
              </w:rPr>
            </w:pPr>
            <w:r>
              <w:rPr>
                <w:b/>
              </w:rPr>
              <w:t>1890-1943</w:t>
            </w:r>
          </w:p>
        </w:tc>
        <w:tc>
          <w:tcPr>
            <w:tcW w:w="2418" w:type="dxa"/>
            <w:gridSpan w:val="2"/>
          </w:tcPr>
          <w:p w:rsidR="004E28C0" w:rsidRPr="006F5E68" w:rsidRDefault="004E28C0" w:rsidP="0084031B">
            <w:pPr>
              <w:keepNext/>
              <w:jc w:val="center"/>
              <w:rPr>
                <w:b/>
              </w:rPr>
            </w:pPr>
            <w:r>
              <w:rPr>
                <w:b/>
              </w:rPr>
              <w:t>Total</w:t>
            </w:r>
          </w:p>
        </w:tc>
      </w:tr>
      <w:tr w:rsidR="004E28C0" w:rsidTr="00844638">
        <w:trPr>
          <w:jc w:val="center"/>
        </w:trPr>
        <w:tc>
          <w:tcPr>
            <w:tcW w:w="1998" w:type="dxa"/>
          </w:tcPr>
          <w:p w:rsidR="004E28C0" w:rsidRPr="006F5E68" w:rsidRDefault="004E28C0" w:rsidP="0084031B">
            <w:pPr>
              <w:keepNext/>
              <w:rPr>
                <w:b/>
              </w:rPr>
            </w:pPr>
          </w:p>
        </w:tc>
        <w:tc>
          <w:tcPr>
            <w:tcW w:w="1029" w:type="dxa"/>
          </w:tcPr>
          <w:p w:rsidR="004E28C0" w:rsidRPr="006F5E68" w:rsidRDefault="004E28C0" w:rsidP="0084031B">
            <w:pPr>
              <w:keepNext/>
              <w:jc w:val="center"/>
              <w:rPr>
                <w:b/>
              </w:rPr>
            </w:pPr>
            <w:r w:rsidRPr="006F5E68">
              <w:rPr>
                <w:b/>
              </w:rPr>
              <w:t>Percent</w:t>
            </w:r>
          </w:p>
        </w:tc>
        <w:tc>
          <w:tcPr>
            <w:tcW w:w="1002" w:type="dxa"/>
          </w:tcPr>
          <w:p w:rsidR="004E28C0" w:rsidRPr="006F5E68" w:rsidRDefault="004E28C0" w:rsidP="0084031B">
            <w:pPr>
              <w:keepNext/>
              <w:jc w:val="center"/>
              <w:rPr>
                <w:b/>
              </w:rPr>
            </w:pPr>
            <w:r w:rsidRPr="006F5E68">
              <w:rPr>
                <w:b/>
              </w:rPr>
              <w:t>N</w:t>
            </w:r>
          </w:p>
        </w:tc>
        <w:tc>
          <w:tcPr>
            <w:tcW w:w="1119" w:type="dxa"/>
          </w:tcPr>
          <w:p w:rsidR="004E28C0" w:rsidRPr="006F5E68" w:rsidRDefault="004E28C0" w:rsidP="0084031B">
            <w:pPr>
              <w:keepNext/>
              <w:jc w:val="center"/>
              <w:rPr>
                <w:b/>
              </w:rPr>
            </w:pPr>
            <w:r w:rsidRPr="006F5E68">
              <w:rPr>
                <w:b/>
              </w:rPr>
              <w:t>Percent</w:t>
            </w:r>
          </w:p>
        </w:tc>
        <w:tc>
          <w:tcPr>
            <w:tcW w:w="810" w:type="dxa"/>
          </w:tcPr>
          <w:p w:rsidR="004E28C0" w:rsidRPr="006F5E68" w:rsidRDefault="004E28C0" w:rsidP="0084031B">
            <w:pPr>
              <w:keepNext/>
              <w:jc w:val="center"/>
              <w:rPr>
                <w:b/>
              </w:rPr>
            </w:pPr>
            <w:r w:rsidRPr="006F5E68">
              <w:rPr>
                <w:b/>
              </w:rPr>
              <w:t>N</w:t>
            </w:r>
          </w:p>
        </w:tc>
        <w:tc>
          <w:tcPr>
            <w:tcW w:w="1428" w:type="dxa"/>
          </w:tcPr>
          <w:p w:rsidR="004E28C0" w:rsidRPr="006F5E68" w:rsidRDefault="004E28C0" w:rsidP="0084031B">
            <w:pPr>
              <w:keepNext/>
              <w:jc w:val="center"/>
              <w:rPr>
                <w:b/>
              </w:rPr>
            </w:pPr>
            <w:r>
              <w:rPr>
                <w:b/>
              </w:rPr>
              <w:t>Percent</w:t>
            </w:r>
          </w:p>
        </w:tc>
        <w:tc>
          <w:tcPr>
            <w:tcW w:w="990" w:type="dxa"/>
          </w:tcPr>
          <w:p w:rsidR="004E28C0" w:rsidRPr="006F5E68" w:rsidRDefault="004E28C0" w:rsidP="0084031B">
            <w:pPr>
              <w:keepNext/>
              <w:jc w:val="center"/>
              <w:rPr>
                <w:b/>
              </w:rPr>
            </w:pPr>
            <w:r>
              <w:rPr>
                <w:b/>
              </w:rPr>
              <w:t>N</w:t>
            </w:r>
          </w:p>
        </w:tc>
      </w:tr>
      <w:tr w:rsidR="004E28C0" w:rsidTr="00844638">
        <w:trPr>
          <w:jc w:val="center"/>
        </w:trPr>
        <w:tc>
          <w:tcPr>
            <w:tcW w:w="1998" w:type="dxa"/>
          </w:tcPr>
          <w:p w:rsidR="004E28C0" w:rsidRPr="006F5E68" w:rsidRDefault="004E28C0" w:rsidP="0084031B">
            <w:pPr>
              <w:keepNext/>
              <w:rPr>
                <w:b/>
              </w:rPr>
            </w:pPr>
            <w:r>
              <w:rPr>
                <w:b/>
              </w:rPr>
              <w:t>Beating</w:t>
            </w:r>
          </w:p>
        </w:tc>
        <w:tc>
          <w:tcPr>
            <w:tcW w:w="1029" w:type="dxa"/>
          </w:tcPr>
          <w:p w:rsidR="004E28C0" w:rsidRDefault="004E28C0" w:rsidP="0084031B">
            <w:pPr>
              <w:keepNext/>
              <w:tabs>
                <w:tab w:val="decimal" w:pos="522"/>
              </w:tabs>
            </w:pPr>
            <w:r>
              <w:t>1%</w:t>
            </w:r>
          </w:p>
        </w:tc>
        <w:tc>
          <w:tcPr>
            <w:tcW w:w="1002" w:type="dxa"/>
          </w:tcPr>
          <w:p w:rsidR="004E28C0" w:rsidRDefault="005E1ECF" w:rsidP="0084031B">
            <w:pPr>
              <w:keepNext/>
              <w:tabs>
                <w:tab w:val="decimal" w:pos="547"/>
              </w:tabs>
            </w:pPr>
            <w:r>
              <w:t>6</w:t>
            </w:r>
          </w:p>
        </w:tc>
        <w:tc>
          <w:tcPr>
            <w:tcW w:w="1119" w:type="dxa"/>
          </w:tcPr>
          <w:p w:rsidR="004E28C0" w:rsidRDefault="004E28C0" w:rsidP="0084031B">
            <w:pPr>
              <w:keepNext/>
              <w:tabs>
                <w:tab w:val="decimal" w:pos="613"/>
              </w:tabs>
            </w:pPr>
            <w:r>
              <w:t>6%</w:t>
            </w:r>
          </w:p>
        </w:tc>
        <w:tc>
          <w:tcPr>
            <w:tcW w:w="810" w:type="dxa"/>
          </w:tcPr>
          <w:p w:rsidR="004E28C0" w:rsidRDefault="005E1ECF" w:rsidP="0084031B">
            <w:pPr>
              <w:keepNext/>
              <w:tabs>
                <w:tab w:val="decimal" w:pos="397"/>
              </w:tabs>
            </w:pPr>
            <w:r>
              <w:t>9</w:t>
            </w:r>
          </w:p>
        </w:tc>
        <w:tc>
          <w:tcPr>
            <w:tcW w:w="1428" w:type="dxa"/>
          </w:tcPr>
          <w:p w:rsidR="004E28C0" w:rsidRDefault="004E28C0" w:rsidP="0084031B">
            <w:pPr>
              <w:keepNext/>
              <w:tabs>
                <w:tab w:val="decimal" w:pos="613"/>
              </w:tabs>
            </w:pPr>
          </w:p>
        </w:tc>
        <w:tc>
          <w:tcPr>
            <w:tcW w:w="990" w:type="dxa"/>
          </w:tcPr>
          <w:p w:rsidR="004E28C0" w:rsidRDefault="004E28C0" w:rsidP="0084031B">
            <w:pPr>
              <w:keepNext/>
              <w:tabs>
                <w:tab w:val="decimal" w:pos="613"/>
              </w:tabs>
            </w:pPr>
            <w:r>
              <w:t>15</w:t>
            </w:r>
          </w:p>
        </w:tc>
      </w:tr>
      <w:tr w:rsidR="004E28C0" w:rsidTr="00844638">
        <w:trPr>
          <w:jc w:val="center"/>
        </w:trPr>
        <w:tc>
          <w:tcPr>
            <w:tcW w:w="1998" w:type="dxa"/>
          </w:tcPr>
          <w:p w:rsidR="004E28C0" w:rsidRPr="006F5E68" w:rsidRDefault="004E28C0" w:rsidP="0084031B">
            <w:pPr>
              <w:keepNext/>
              <w:rPr>
                <w:b/>
              </w:rPr>
            </w:pPr>
            <w:r>
              <w:rPr>
                <w:b/>
              </w:rPr>
              <w:t>Burning</w:t>
            </w:r>
          </w:p>
        </w:tc>
        <w:tc>
          <w:tcPr>
            <w:tcW w:w="1029" w:type="dxa"/>
          </w:tcPr>
          <w:p w:rsidR="004E28C0" w:rsidRDefault="004E28C0" w:rsidP="0084031B">
            <w:pPr>
              <w:keepNext/>
              <w:tabs>
                <w:tab w:val="decimal" w:pos="522"/>
              </w:tabs>
            </w:pPr>
            <w:r>
              <w:t>1%</w:t>
            </w:r>
          </w:p>
        </w:tc>
        <w:tc>
          <w:tcPr>
            <w:tcW w:w="1002" w:type="dxa"/>
          </w:tcPr>
          <w:p w:rsidR="004E28C0" w:rsidRDefault="004E28C0" w:rsidP="0084031B">
            <w:pPr>
              <w:keepNext/>
              <w:tabs>
                <w:tab w:val="decimal" w:pos="547"/>
              </w:tabs>
            </w:pPr>
            <w:r>
              <w:t>3</w:t>
            </w:r>
          </w:p>
        </w:tc>
        <w:tc>
          <w:tcPr>
            <w:tcW w:w="1119" w:type="dxa"/>
          </w:tcPr>
          <w:p w:rsidR="004E28C0" w:rsidRDefault="004E28C0" w:rsidP="0084031B">
            <w:pPr>
              <w:keepNext/>
              <w:tabs>
                <w:tab w:val="decimal" w:pos="613"/>
              </w:tabs>
            </w:pPr>
            <w:r>
              <w:t>3%</w:t>
            </w:r>
          </w:p>
        </w:tc>
        <w:tc>
          <w:tcPr>
            <w:tcW w:w="810" w:type="dxa"/>
          </w:tcPr>
          <w:p w:rsidR="004E28C0" w:rsidRDefault="004E28C0" w:rsidP="0084031B">
            <w:pPr>
              <w:keepNext/>
              <w:tabs>
                <w:tab w:val="decimal" w:pos="397"/>
              </w:tabs>
            </w:pPr>
            <w:r>
              <w:t>5</w:t>
            </w:r>
          </w:p>
        </w:tc>
        <w:tc>
          <w:tcPr>
            <w:tcW w:w="1428" w:type="dxa"/>
          </w:tcPr>
          <w:p w:rsidR="004E28C0" w:rsidRDefault="004E28C0" w:rsidP="0084031B">
            <w:pPr>
              <w:keepNext/>
              <w:tabs>
                <w:tab w:val="decimal" w:pos="613"/>
              </w:tabs>
            </w:pPr>
          </w:p>
        </w:tc>
        <w:tc>
          <w:tcPr>
            <w:tcW w:w="990" w:type="dxa"/>
          </w:tcPr>
          <w:p w:rsidR="004E28C0" w:rsidRDefault="004E28C0" w:rsidP="0084031B">
            <w:pPr>
              <w:keepNext/>
              <w:tabs>
                <w:tab w:val="decimal" w:pos="613"/>
              </w:tabs>
            </w:pPr>
            <w:r>
              <w:t>8</w:t>
            </w:r>
          </w:p>
        </w:tc>
      </w:tr>
      <w:tr w:rsidR="004E28C0" w:rsidTr="00844638">
        <w:trPr>
          <w:jc w:val="center"/>
        </w:trPr>
        <w:tc>
          <w:tcPr>
            <w:tcW w:w="1998" w:type="dxa"/>
          </w:tcPr>
          <w:p w:rsidR="004E28C0" w:rsidRPr="006F5E68" w:rsidRDefault="004E28C0" w:rsidP="0084031B">
            <w:pPr>
              <w:keepNext/>
              <w:rPr>
                <w:b/>
              </w:rPr>
            </w:pPr>
            <w:r>
              <w:rPr>
                <w:b/>
              </w:rPr>
              <w:t>Flogging</w:t>
            </w:r>
          </w:p>
        </w:tc>
        <w:tc>
          <w:tcPr>
            <w:tcW w:w="1029" w:type="dxa"/>
          </w:tcPr>
          <w:p w:rsidR="004E28C0" w:rsidRDefault="004E28C0" w:rsidP="0084031B">
            <w:pPr>
              <w:keepNext/>
              <w:tabs>
                <w:tab w:val="decimal" w:pos="522"/>
              </w:tabs>
            </w:pPr>
            <w:r>
              <w:t>0%</w:t>
            </w:r>
          </w:p>
        </w:tc>
        <w:tc>
          <w:tcPr>
            <w:tcW w:w="1002" w:type="dxa"/>
          </w:tcPr>
          <w:p w:rsidR="004E28C0" w:rsidRDefault="004E28C0" w:rsidP="0084031B">
            <w:pPr>
              <w:keepNext/>
              <w:tabs>
                <w:tab w:val="decimal" w:pos="547"/>
              </w:tabs>
            </w:pPr>
            <w:r>
              <w:t>1</w:t>
            </w:r>
          </w:p>
        </w:tc>
        <w:tc>
          <w:tcPr>
            <w:tcW w:w="1119" w:type="dxa"/>
          </w:tcPr>
          <w:p w:rsidR="004E28C0" w:rsidRDefault="004E28C0" w:rsidP="0084031B">
            <w:pPr>
              <w:keepNext/>
              <w:tabs>
                <w:tab w:val="decimal" w:pos="613"/>
              </w:tabs>
            </w:pPr>
            <w:r>
              <w:t>1%</w:t>
            </w:r>
          </w:p>
        </w:tc>
        <w:tc>
          <w:tcPr>
            <w:tcW w:w="810" w:type="dxa"/>
          </w:tcPr>
          <w:p w:rsidR="004E28C0" w:rsidRDefault="004E28C0" w:rsidP="0084031B">
            <w:pPr>
              <w:keepNext/>
              <w:tabs>
                <w:tab w:val="decimal" w:pos="397"/>
              </w:tabs>
            </w:pPr>
            <w:r>
              <w:t>1</w:t>
            </w:r>
          </w:p>
        </w:tc>
        <w:tc>
          <w:tcPr>
            <w:tcW w:w="1428" w:type="dxa"/>
          </w:tcPr>
          <w:p w:rsidR="004E28C0" w:rsidRDefault="004E28C0" w:rsidP="0084031B">
            <w:pPr>
              <w:keepNext/>
              <w:tabs>
                <w:tab w:val="decimal" w:pos="613"/>
              </w:tabs>
            </w:pPr>
          </w:p>
        </w:tc>
        <w:tc>
          <w:tcPr>
            <w:tcW w:w="990" w:type="dxa"/>
          </w:tcPr>
          <w:p w:rsidR="004E28C0" w:rsidRDefault="004E28C0" w:rsidP="0084031B">
            <w:pPr>
              <w:keepNext/>
              <w:tabs>
                <w:tab w:val="decimal" w:pos="613"/>
              </w:tabs>
            </w:pPr>
            <w:r>
              <w:t>2</w:t>
            </w:r>
          </w:p>
        </w:tc>
      </w:tr>
      <w:tr w:rsidR="004E28C0" w:rsidTr="00844638">
        <w:trPr>
          <w:jc w:val="center"/>
        </w:trPr>
        <w:tc>
          <w:tcPr>
            <w:tcW w:w="1998" w:type="dxa"/>
          </w:tcPr>
          <w:p w:rsidR="004E28C0" w:rsidRPr="006F5E68" w:rsidRDefault="004E28C0" w:rsidP="0084031B">
            <w:pPr>
              <w:keepNext/>
              <w:rPr>
                <w:b/>
              </w:rPr>
            </w:pPr>
            <w:r>
              <w:rPr>
                <w:b/>
              </w:rPr>
              <w:t>Hanging</w:t>
            </w:r>
          </w:p>
        </w:tc>
        <w:tc>
          <w:tcPr>
            <w:tcW w:w="1029" w:type="dxa"/>
          </w:tcPr>
          <w:p w:rsidR="004E28C0" w:rsidRDefault="004E28C0" w:rsidP="0084031B">
            <w:pPr>
              <w:keepNext/>
              <w:tabs>
                <w:tab w:val="decimal" w:pos="522"/>
              </w:tabs>
            </w:pPr>
            <w:r>
              <w:t>84%</w:t>
            </w:r>
          </w:p>
        </w:tc>
        <w:tc>
          <w:tcPr>
            <w:tcW w:w="1002" w:type="dxa"/>
          </w:tcPr>
          <w:p w:rsidR="004E28C0" w:rsidRDefault="005E1ECF" w:rsidP="0084031B">
            <w:pPr>
              <w:keepNext/>
              <w:tabs>
                <w:tab w:val="decimal" w:pos="547"/>
              </w:tabs>
            </w:pPr>
            <w:r>
              <w:t>351</w:t>
            </w:r>
          </w:p>
        </w:tc>
        <w:tc>
          <w:tcPr>
            <w:tcW w:w="1119" w:type="dxa"/>
          </w:tcPr>
          <w:p w:rsidR="004E28C0" w:rsidRDefault="005E1ECF" w:rsidP="0084031B">
            <w:pPr>
              <w:keepNext/>
              <w:tabs>
                <w:tab w:val="decimal" w:pos="613"/>
              </w:tabs>
            </w:pPr>
            <w:r>
              <w:t>66</w:t>
            </w:r>
            <w:r w:rsidR="004E28C0">
              <w:t>%</w:t>
            </w:r>
          </w:p>
        </w:tc>
        <w:tc>
          <w:tcPr>
            <w:tcW w:w="810" w:type="dxa"/>
          </w:tcPr>
          <w:p w:rsidR="004E28C0" w:rsidRDefault="005E1ECF" w:rsidP="0084031B">
            <w:pPr>
              <w:keepNext/>
              <w:tabs>
                <w:tab w:val="decimal" w:pos="397"/>
              </w:tabs>
            </w:pPr>
            <w:r>
              <w:t>105</w:t>
            </w:r>
          </w:p>
        </w:tc>
        <w:tc>
          <w:tcPr>
            <w:tcW w:w="1428" w:type="dxa"/>
          </w:tcPr>
          <w:p w:rsidR="004E28C0" w:rsidRDefault="004E28C0" w:rsidP="0084031B">
            <w:pPr>
              <w:keepNext/>
              <w:tabs>
                <w:tab w:val="decimal" w:pos="613"/>
              </w:tabs>
            </w:pPr>
          </w:p>
        </w:tc>
        <w:tc>
          <w:tcPr>
            <w:tcW w:w="990" w:type="dxa"/>
          </w:tcPr>
          <w:p w:rsidR="004E28C0" w:rsidRDefault="004E28C0" w:rsidP="0084031B">
            <w:pPr>
              <w:keepNext/>
              <w:tabs>
                <w:tab w:val="decimal" w:pos="613"/>
              </w:tabs>
            </w:pPr>
            <w:r>
              <w:t>456</w:t>
            </w:r>
          </w:p>
        </w:tc>
      </w:tr>
      <w:tr w:rsidR="004E28C0" w:rsidTr="00844638">
        <w:trPr>
          <w:jc w:val="center"/>
        </w:trPr>
        <w:tc>
          <w:tcPr>
            <w:tcW w:w="1998" w:type="dxa"/>
          </w:tcPr>
          <w:p w:rsidR="004E28C0" w:rsidRPr="006F5E68" w:rsidRDefault="004E28C0" w:rsidP="0084031B">
            <w:pPr>
              <w:keepNext/>
              <w:rPr>
                <w:b/>
              </w:rPr>
            </w:pPr>
            <w:r>
              <w:rPr>
                <w:b/>
              </w:rPr>
              <w:t>Shooting</w:t>
            </w:r>
          </w:p>
        </w:tc>
        <w:tc>
          <w:tcPr>
            <w:tcW w:w="1029" w:type="dxa"/>
          </w:tcPr>
          <w:p w:rsidR="004E28C0" w:rsidRDefault="005E1ECF" w:rsidP="0084031B">
            <w:pPr>
              <w:keepNext/>
              <w:tabs>
                <w:tab w:val="decimal" w:pos="522"/>
              </w:tabs>
            </w:pPr>
            <w:r>
              <w:t>7</w:t>
            </w:r>
            <w:r w:rsidR="004E28C0">
              <w:t>%</w:t>
            </w:r>
          </w:p>
        </w:tc>
        <w:tc>
          <w:tcPr>
            <w:tcW w:w="1002" w:type="dxa"/>
          </w:tcPr>
          <w:p w:rsidR="004E28C0" w:rsidRDefault="004E28C0" w:rsidP="0084031B">
            <w:pPr>
              <w:keepNext/>
              <w:tabs>
                <w:tab w:val="decimal" w:pos="547"/>
              </w:tabs>
            </w:pPr>
            <w:r>
              <w:t>31</w:t>
            </w:r>
          </w:p>
        </w:tc>
        <w:tc>
          <w:tcPr>
            <w:tcW w:w="1119" w:type="dxa"/>
          </w:tcPr>
          <w:p w:rsidR="004E28C0" w:rsidRDefault="005E1ECF" w:rsidP="0084031B">
            <w:pPr>
              <w:keepNext/>
              <w:tabs>
                <w:tab w:val="decimal" w:pos="613"/>
              </w:tabs>
            </w:pPr>
            <w:r>
              <w:t>14</w:t>
            </w:r>
            <w:r w:rsidR="004E28C0">
              <w:t>%</w:t>
            </w:r>
          </w:p>
        </w:tc>
        <w:tc>
          <w:tcPr>
            <w:tcW w:w="810" w:type="dxa"/>
          </w:tcPr>
          <w:p w:rsidR="004E28C0" w:rsidRDefault="004E28C0" w:rsidP="0084031B">
            <w:pPr>
              <w:keepNext/>
              <w:tabs>
                <w:tab w:val="decimal" w:pos="397"/>
              </w:tabs>
            </w:pPr>
            <w:r>
              <w:t>23</w:t>
            </w:r>
          </w:p>
        </w:tc>
        <w:tc>
          <w:tcPr>
            <w:tcW w:w="1428" w:type="dxa"/>
          </w:tcPr>
          <w:p w:rsidR="004E28C0" w:rsidRDefault="004E28C0" w:rsidP="0084031B">
            <w:pPr>
              <w:keepNext/>
              <w:tabs>
                <w:tab w:val="decimal" w:pos="613"/>
              </w:tabs>
            </w:pPr>
          </w:p>
        </w:tc>
        <w:tc>
          <w:tcPr>
            <w:tcW w:w="990" w:type="dxa"/>
          </w:tcPr>
          <w:p w:rsidR="004E28C0" w:rsidRDefault="004E28C0" w:rsidP="0084031B">
            <w:pPr>
              <w:keepNext/>
              <w:tabs>
                <w:tab w:val="decimal" w:pos="613"/>
              </w:tabs>
            </w:pPr>
            <w:r>
              <w:t>54</w:t>
            </w:r>
          </w:p>
        </w:tc>
      </w:tr>
      <w:tr w:rsidR="004E28C0" w:rsidTr="00844638">
        <w:trPr>
          <w:jc w:val="center"/>
        </w:trPr>
        <w:tc>
          <w:tcPr>
            <w:tcW w:w="1998" w:type="dxa"/>
          </w:tcPr>
          <w:p w:rsidR="004E28C0" w:rsidRPr="006F5E68" w:rsidRDefault="004E28C0" w:rsidP="0084031B">
            <w:pPr>
              <w:keepNext/>
              <w:rPr>
                <w:b/>
              </w:rPr>
            </w:pPr>
            <w:r>
              <w:rPr>
                <w:b/>
              </w:rPr>
              <w:t>Strangling</w:t>
            </w:r>
          </w:p>
        </w:tc>
        <w:tc>
          <w:tcPr>
            <w:tcW w:w="1029" w:type="dxa"/>
          </w:tcPr>
          <w:p w:rsidR="004E28C0" w:rsidRDefault="004E28C0" w:rsidP="0084031B">
            <w:pPr>
              <w:keepNext/>
              <w:tabs>
                <w:tab w:val="decimal" w:pos="522"/>
              </w:tabs>
            </w:pPr>
            <w:r>
              <w:t>0%</w:t>
            </w:r>
          </w:p>
        </w:tc>
        <w:tc>
          <w:tcPr>
            <w:tcW w:w="1002" w:type="dxa"/>
          </w:tcPr>
          <w:p w:rsidR="004E28C0" w:rsidRDefault="004E28C0" w:rsidP="0084031B">
            <w:pPr>
              <w:keepNext/>
              <w:tabs>
                <w:tab w:val="decimal" w:pos="547"/>
              </w:tabs>
            </w:pPr>
            <w:r>
              <w:t>1</w:t>
            </w:r>
          </w:p>
        </w:tc>
        <w:tc>
          <w:tcPr>
            <w:tcW w:w="1119" w:type="dxa"/>
          </w:tcPr>
          <w:p w:rsidR="004E28C0" w:rsidRDefault="004E28C0" w:rsidP="0084031B">
            <w:pPr>
              <w:keepNext/>
              <w:tabs>
                <w:tab w:val="decimal" w:pos="613"/>
              </w:tabs>
            </w:pPr>
            <w:r>
              <w:t>1%</w:t>
            </w:r>
          </w:p>
        </w:tc>
        <w:tc>
          <w:tcPr>
            <w:tcW w:w="810" w:type="dxa"/>
          </w:tcPr>
          <w:p w:rsidR="004E28C0" w:rsidRDefault="004E28C0" w:rsidP="0084031B">
            <w:pPr>
              <w:keepNext/>
              <w:tabs>
                <w:tab w:val="decimal" w:pos="397"/>
              </w:tabs>
            </w:pPr>
            <w:r>
              <w:t>1</w:t>
            </w:r>
          </w:p>
        </w:tc>
        <w:tc>
          <w:tcPr>
            <w:tcW w:w="1428" w:type="dxa"/>
          </w:tcPr>
          <w:p w:rsidR="004E28C0" w:rsidRDefault="004E28C0" w:rsidP="0084031B">
            <w:pPr>
              <w:keepNext/>
              <w:tabs>
                <w:tab w:val="decimal" w:pos="613"/>
              </w:tabs>
            </w:pPr>
          </w:p>
        </w:tc>
        <w:tc>
          <w:tcPr>
            <w:tcW w:w="990" w:type="dxa"/>
          </w:tcPr>
          <w:p w:rsidR="004E28C0" w:rsidRDefault="004E28C0" w:rsidP="0084031B">
            <w:pPr>
              <w:keepNext/>
              <w:tabs>
                <w:tab w:val="decimal" w:pos="613"/>
              </w:tabs>
            </w:pPr>
            <w:r>
              <w:t>2</w:t>
            </w:r>
          </w:p>
        </w:tc>
      </w:tr>
      <w:tr w:rsidR="004E28C0" w:rsidTr="00844638">
        <w:trPr>
          <w:jc w:val="center"/>
        </w:trPr>
        <w:tc>
          <w:tcPr>
            <w:tcW w:w="1998" w:type="dxa"/>
          </w:tcPr>
          <w:p w:rsidR="004E28C0" w:rsidRPr="006F5E68" w:rsidRDefault="004E28C0" w:rsidP="0084031B">
            <w:pPr>
              <w:keepNext/>
              <w:rPr>
                <w:b/>
              </w:rPr>
            </w:pPr>
            <w:r>
              <w:rPr>
                <w:b/>
              </w:rPr>
              <w:t>Mutilation</w:t>
            </w:r>
          </w:p>
        </w:tc>
        <w:tc>
          <w:tcPr>
            <w:tcW w:w="1029" w:type="dxa"/>
          </w:tcPr>
          <w:p w:rsidR="004E28C0" w:rsidRDefault="004E28C0" w:rsidP="0084031B">
            <w:pPr>
              <w:keepNext/>
              <w:tabs>
                <w:tab w:val="decimal" w:pos="522"/>
              </w:tabs>
            </w:pPr>
            <w:r>
              <w:t>0%</w:t>
            </w:r>
          </w:p>
        </w:tc>
        <w:tc>
          <w:tcPr>
            <w:tcW w:w="1002" w:type="dxa"/>
          </w:tcPr>
          <w:p w:rsidR="004E28C0" w:rsidRDefault="004E28C0" w:rsidP="0084031B">
            <w:pPr>
              <w:keepNext/>
              <w:tabs>
                <w:tab w:val="decimal" w:pos="547"/>
              </w:tabs>
            </w:pPr>
            <w:r>
              <w:t>1</w:t>
            </w:r>
          </w:p>
        </w:tc>
        <w:tc>
          <w:tcPr>
            <w:tcW w:w="1119" w:type="dxa"/>
          </w:tcPr>
          <w:p w:rsidR="004E28C0" w:rsidRDefault="004E28C0" w:rsidP="0084031B">
            <w:pPr>
              <w:keepNext/>
              <w:tabs>
                <w:tab w:val="decimal" w:pos="613"/>
              </w:tabs>
            </w:pPr>
            <w:r>
              <w:t>2%</w:t>
            </w:r>
          </w:p>
        </w:tc>
        <w:tc>
          <w:tcPr>
            <w:tcW w:w="810" w:type="dxa"/>
          </w:tcPr>
          <w:p w:rsidR="004E28C0" w:rsidRDefault="004E28C0" w:rsidP="0084031B">
            <w:pPr>
              <w:keepNext/>
              <w:tabs>
                <w:tab w:val="decimal" w:pos="397"/>
              </w:tabs>
            </w:pPr>
            <w:r>
              <w:t>3</w:t>
            </w:r>
          </w:p>
        </w:tc>
        <w:tc>
          <w:tcPr>
            <w:tcW w:w="1428" w:type="dxa"/>
          </w:tcPr>
          <w:p w:rsidR="004E28C0" w:rsidRDefault="004E28C0" w:rsidP="0084031B">
            <w:pPr>
              <w:keepNext/>
              <w:tabs>
                <w:tab w:val="decimal" w:pos="613"/>
              </w:tabs>
            </w:pPr>
          </w:p>
        </w:tc>
        <w:tc>
          <w:tcPr>
            <w:tcW w:w="990" w:type="dxa"/>
          </w:tcPr>
          <w:p w:rsidR="004E28C0" w:rsidRDefault="004E28C0" w:rsidP="0084031B">
            <w:pPr>
              <w:keepNext/>
              <w:tabs>
                <w:tab w:val="decimal" w:pos="613"/>
              </w:tabs>
            </w:pPr>
            <w:r>
              <w:t>4</w:t>
            </w:r>
          </w:p>
        </w:tc>
      </w:tr>
      <w:tr w:rsidR="004E28C0" w:rsidTr="00844638">
        <w:trPr>
          <w:jc w:val="center"/>
        </w:trPr>
        <w:tc>
          <w:tcPr>
            <w:tcW w:w="1998" w:type="dxa"/>
          </w:tcPr>
          <w:p w:rsidR="004E28C0" w:rsidRPr="006F5E68" w:rsidRDefault="004E28C0" w:rsidP="0084031B">
            <w:pPr>
              <w:keepNext/>
              <w:rPr>
                <w:b/>
              </w:rPr>
            </w:pPr>
            <w:r>
              <w:rPr>
                <w:b/>
              </w:rPr>
              <w:t>Unknown</w:t>
            </w:r>
          </w:p>
        </w:tc>
        <w:tc>
          <w:tcPr>
            <w:tcW w:w="1029" w:type="dxa"/>
          </w:tcPr>
          <w:p w:rsidR="004E28C0" w:rsidRDefault="004E28C0" w:rsidP="0084031B">
            <w:pPr>
              <w:keepNext/>
              <w:tabs>
                <w:tab w:val="decimal" w:pos="522"/>
              </w:tabs>
            </w:pPr>
            <w:r>
              <w:t>6%</w:t>
            </w:r>
          </w:p>
        </w:tc>
        <w:tc>
          <w:tcPr>
            <w:tcW w:w="1002" w:type="dxa"/>
          </w:tcPr>
          <w:p w:rsidR="004E28C0" w:rsidRDefault="004E28C0" w:rsidP="0084031B">
            <w:pPr>
              <w:keepNext/>
              <w:tabs>
                <w:tab w:val="decimal" w:pos="547"/>
              </w:tabs>
            </w:pPr>
            <w:r>
              <w:t>24</w:t>
            </w:r>
          </w:p>
        </w:tc>
        <w:tc>
          <w:tcPr>
            <w:tcW w:w="1119" w:type="dxa"/>
          </w:tcPr>
          <w:p w:rsidR="004E28C0" w:rsidRDefault="004E28C0" w:rsidP="0084031B">
            <w:pPr>
              <w:keepNext/>
              <w:tabs>
                <w:tab w:val="decimal" w:pos="613"/>
              </w:tabs>
            </w:pPr>
            <w:r>
              <w:t>8%</w:t>
            </w:r>
          </w:p>
        </w:tc>
        <w:tc>
          <w:tcPr>
            <w:tcW w:w="810" w:type="dxa"/>
          </w:tcPr>
          <w:p w:rsidR="004E28C0" w:rsidRDefault="004E28C0" w:rsidP="0084031B">
            <w:pPr>
              <w:keepNext/>
              <w:tabs>
                <w:tab w:val="decimal" w:pos="397"/>
              </w:tabs>
            </w:pPr>
            <w:r>
              <w:t>13</w:t>
            </w:r>
          </w:p>
        </w:tc>
        <w:tc>
          <w:tcPr>
            <w:tcW w:w="1428" w:type="dxa"/>
          </w:tcPr>
          <w:p w:rsidR="004E28C0" w:rsidRDefault="004E28C0" w:rsidP="0084031B">
            <w:pPr>
              <w:keepNext/>
              <w:tabs>
                <w:tab w:val="decimal" w:pos="613"/>
              </w:tabs>
            </w:pPr>
          </w:p>
        </w:tc>
        <w:tc>
          <w:tcPr>
            <w:tcW w:w="990" w:type="dxa"/>
          </w:tcPr>
          <w:p w:rsidR="004E28C0" w:rsidRDefault="004E28C0" w:rsidP="0084031B">
            <w:pPr>
              <w:keepNext/>
              <w:tabs>
                <w:tab w:val="decimal" w:pos="613"/>
              </w:tabs>
            </w:pPr>
            <w:r>
              <w:t>37</w:t>
            </w:r>
          </w:p>
        </w:tc>
      </w:tr>
      <w:tr w:rsidR="004E28C0" w:rsidTr="00844638">
        <w:trPr>
          <w:jc w:val="center"/>
        </w:trPr>
        <w:tc>
          <w:tcPr>
            <w:tcW w:w="1998" w:type="dxa"/>
          </w:tcPr>
          <w:p w:rsidR="004E28C0" w:rsidRPr="006F5E68" w:rsidRDefault="004E28C0" w:rsidP="0084031B">
            <w:pPr>
              <w:keepNext/>
              <w:rPr>
                <w:b/>
              </w:rPr>
            </w:pPr>
            <w:r>
              <w:rPr>
                <w:b/>
              </w:rPr>
              <w:t>Total</w:t>
            </w:r>
          </w:p>
        </w:tc>
        <w:tc>
          <w:tcPr>
            <w:tcW w:w="1029" w:type="dxa"/>
          </w:tcPr>
          <w:p w:rsidR="004E28C0" w:rsidRDefault="004E28C0" w:rsidP="0084031B">
            <w:pPr>
              <w:keepNext/>
              <w:tabs>
                <w:tab w:val="decimal" w:pos="522"/>
              </w:tabs>
            </w:pPr>
          </w:p>
        </w:tc>
        <w:tc>
          <w:tcPr>
            <w:tcW w:w="1002" w:type="dxa"/>
          </w:tcPr>
          <w:p w:rsidR="004E28C0" w:rsidRDefault="005E1ECF" w:rsidP="0084031B">
            <w:pPr>
              <w:keepNext/>
              <w:tabs>
                <w:tab w:val="decimal" w:pos="483"/>
              </w:tabs>
            </w:pPr>
            <w:r>
              <w:t>418</w:t>
            </w:r>
          </w:p>
        </w:tc>
        <w:tc>
          <w:tcPr>
            <w:tcW w:w="1119" w:type="dxa"/>
          </w:tcPr>
          <w:p w:rsidR="004E28C0" w:rsidRDefault="004E28C0" w:rsidP="0084031B">
            <w:pPr>
              <w:keepNext/>
              <w:tabs>
                <w:tab w:val="decimal" w:pos="613"/>
              </w:tabs>
            </w:pPr>
          </w:p>
        </w:tc>
        <w:tc>
          <w:tcPr>
            <w:tcW w:w="810" w:type="dxa"/>
          </w:tcPr>
          <w:p w:rsidR="004E28C0" w:rsidRDefault="005E1ECF" w:rsidP="0084031B">
            <w:pPr>
              <w:keepNext/>
              <w:tabs>
                <w:tab w:val="decimal" w:pos="397"/>
              </w:tabs>
            </w:pPr>
            <w:r>
              <w:t>160</w:t>
            </w:r>
          </w:p>
        </w:tc>
        <w:tc>
          <w:tcPr>
            <w:tcW w:w="1428" w:type="dxa"/>
          </w:tcPr>
          <w:p w:rsidR="004E28C0" w:rsidRDefault="004E28C0" w:rsidP="0084031B">
            <w:pPr>
              <w:keepNext/>
              <w:tabs>
                <w:tab w:val="decimal" w:pos="613"/>
              </w:tabs>
            </w:pPr>
          </w:p>
        </w:tc>
        <w:tc>
          <w:tcPr>
            <w:tcW w:w="990" w:type="dxa"/>
          </w:tcPr>
          <w:p w:rsidR="004E28C0" w:rsidRDefault="004E28C0" w:rsidP="0084031B">
            <w:pPr>
              <w:keepNext/>
              <w:tabs>
                <w:tab w:val="decimal" w:pos="613"/>
              </w:tabs>
            </w:pPr>
            <w:r>
              <w:t>578</w:t>
            </w:r>
          </w:p>
        </w:tc>
      </w:tr>
    </w:tbl>
    <w:p w:rsidR="004E28C0" w:rsidRDefault="004E28C0" w:rsidP="004E28C0"/>
    <w:p w:rsidR="004E28C0" w:rsidRDefault="004E28C0" w:rsidP="004E28C0">
      <w:r>
        <w:t>* coded to include only most barbaric (in descending order: mutilation, burning, strangulation, beating, flogging, hanging, shooting) if more than one method was used</w:t>
      </w:r>
    </w:p>
    <w:p w:rsidR="00F85721" w:rsidRDefault="00F85721" w:rsidP="00F85721">
      <w:pPr>
        <w:spacing w:line="480" w:lineRule="auto"/>
      </w:pPr>
    </w:p>
    <w:p w:rsidR="004E28C0" w:rsidRDefault="004E28C0" w:rsidP="004E28C0">
      <w:pPr>
        <w:spacing w:line="480" w:lineRule="auto"/>
        <w:ind w:firstLine="720"/>
      </w:pPr>
      <w:r>
        <w:t>We are comparing apples and oranges, however, as we see in the comparison of Arizona (a Western State) and Indiana (a Midwestern Klan State).  If we look at the total number of ly</w:t>
      </w:r>
      <w:r w:rsidR="0084031B">
        <w:t>nching victims from the sample, in Table 5,</w:t>
      </w:r>
      <w:r>
        <w:t xml:space="preserve"> we might conclude that both States were typical Non-</w:t>
      </w:r>
      <w:r w:rsidR="0009374C">
        <w:t>Southern white-oriented vigilante</w:t>
      </w:r>
      <w:r>
        <w:t xml:space="preserve"> States, with Arizona being more racial, perhaps because of the presence of more Latinos and Native American</w:t>
      </w:r>
      <w:r w:rsidR="00CE56A6">
        <w:t>s</w:t>
      </w:r>
      <w:r>
        <w:t>—ironically, in Indiana, the “Indians” were exterminated or marched Westward in the Trail of Tears.</w:t>
      </w:r>
    </w:p>
    <w:p w:rsidR="00E210E8" w:rsidRDefault="00E210E8" w:rsidP="004E28C0">
      <w:pPr>
        <w:spacing w:line="480" w:lineRule="auto"/>
        <w:ind w:firstLine="720"/>
      </w:pPr>
    </w:p>
    <w:p w:rsidR="00950CE1" w:rsidRDefault="00950CE1" w:rsidP="004452D9">
      <w:pPr>
        <w:keepNext/>
        <w:jc w:val="center"/>
        <w:rPr>
          <w:b/>
        </w:rPr>
      </w:pPr>
      <w:r>
        <w:rPr>
          <w:b/>
        </w:rPr>
        <w:t>Table 5</w:t>
      </w:r>
    </w:p>
    <w:p w:rsidR="004E28C0" w:rsidRPr="00C57FAC" w:rsidRDefault="004E28C0" w:rsidP="004452D9">
      <w:pPr>
        <w:keepNext/>
        <w:jc w:val="center"/>
        <w:rPr>
          <w:b/>
        </w:rPr>
      </w:pPr>
      <w:r>
        <w:rPr>
          <w:b/>
        </w:rPr>
        <w:t>Lynching by Race in Arizona</w:t>
      </w:r>
      <w:r w:rsidR="00C859B2">
        <w:rPr>
          <w:b/>
        </w:rPr>
        <w:t>, 1859-1899,</w:t>
      </w:r>
      <w:r>
        <w:rPr>
          <w:b/>
        </w:rPr>
        <w:t xml:space="preserve"> and Indiana</w:t>
      </w:r>
      <w:r w:rsidR="00C859B2">
        <w:rPr>
          <w:b/>
        </w:rPr>
        <w:t>, 1858-1930</w:t>
      </w:r>
    </w:p>
    <w:p w:rsidR="004E28C0" w:rsidRDefault="004E28C0" w:rsidP="004452D9">
      <w:pPr>
        <w:keepNext/>
      </w:pPr>
    </w:p>
    <w:tbl>
      <w:tblPr>
        <w:tblStyle w:val="TableGrid"/>
        <w:tblW w:w="0" w:type="auto"/>
        <w:tblLook w:val="04A0" w:firstRow="1" w:lastRow="0" w:firstColumn="1" w:lastColumn="0" w:noHBand="0" w:noVBand="1"/>
      </w:tblPr>
      <w:tblGrid>
        <w:gridCol w:w="2088"/>
        <w:gridCol w:w="1742"/>
        <w:gridCol w:w="1915"/>
        <w:gridCol w:w="1915"/>
        <w:gridCol w:w="1916"/>
      </w:tblGrid>
      <w:tr w:rsidR="004E28C0" w:rsidTr="004E28C0">
        <w:tc>
          <w:tcPr>
            <w:tcW w:w="2088" w:type="dxa"/>
          </w:tcPr>
          <w:p w:rsidR="004E28C0" w:rsidRPr="00C57FAC" w:rsidRDefault="004E28C0" w:rsidP="004452D9">
            <w:pPr>
              <w:keepNext/>
              <w:jc w:val="center"/>
              <w:rPr>
                <w:b/>
              </w:rPr>
            </w:pPr>
            <w:r>
              <w:rPr>
                <w:b/>
              </w:rPr>
              <w:t>Race</w:t>
            </w:r>
          </w:p>
        </w:tc>
        <w:tc>
          <w:tcPr>
            <w:tcW w:w="3657" w:type="dxa"/>
            <w:gridSpan w:val="2"/>
          </w:tcPr>
          <w:p w:rsidR="004E28C0" w:rsidRPr="00C57FAC" w:rsidRDefault="004E28C0" w:rsidP="004452D9">
            <w:pPr>
              <w:keepNext/>
              <w:jc w:val="center"/>
              <w:rPr>
                <w:b/>
              </w:rPr>
            </w:pPr>
            <w:r>
              <w:rPr>
                <w:b/>
              </w:rPr>
              <w:t>Indiana</w:t>
            </w:r>
          </w:p>
        </w:tc>
        <w:tc>
          <w:tcPr>
            <w:tcW w:w="3831" w:type="dxa"/>
            <w:gridSpan w:val="2"/>
          </w:tcPr>
          <w:p w:rsidR="004E28C0" w:rsidRPr="00C57FAC" w:rsidRDefault="004E28C0" w:rsidP="004452D9">
            <w:pPr>
              <w:keepNext/>
              <w:jc w:val="center"/>
              <w:rPr>
                <w:b/>
              </w:rPr>
            </w:pPr>
            <w:r>
              <w:rPr>
                <w:b/>
              </w:rPr>
              <w:t>Arizona</w:t>
            </w:r>
          </w:p>
        </w:tc>
      </w:tr>
      <w:tr w:rsidR="004E28C0" w:rsidTr="004E28C0">
        <w:tc>
          <w:tcPr>
            <w:tcW w:w="2088" w:type="dxa"/>
          </w:tcPr>
          <w:p w:rsidR="004E28C0" w:rsidRPr="00C57FAC" w:rsidRDefault="004E28C0" w:rsidP="004452D9">
            <w:pPr>
              <w:keepNext/>
              <w:rPr>
                <w:b/>
              </w:rPr>
            </w:pPr>
          </w:p>
        </w:tc>
        <w:tc>
          <w:tcPr>
            <w:tcW w:w="1742" w:type="dxa"/>
          </w:tcPr>
          <w:p w:rsidR="004E28C0" w:rsidRPr="00C57FAC" w:rsidRDefault="004E28C0" w:rsidP="004452D9">
            <w:pPr>
              <w:keepNext/>
              <w:jc w:val="center"/>
              <w:rPr>
                <w:b/>
              </w:rPr>
            </w:pPr>
            <w:r>
              <w:rPr>
                <w:b/>
              </w:rPr>
              <w:t>Percent</w:t>
            </w:r>
          </w:p>
        </w:tc>
        <w:tc>
          <w:tcPr>
            <w:tcW w:w="1915" w:type="dxa"/>
          </w:tcPr>
          <w:p w:rsidR="004E28C0" w:rsidRPr="00C57FAC" w:rsidRDefault="004E28C0" w:rsidP="004452D9">
            <w:pPr>
              <w:keepNext/>
              <w:jc w:val="center"/>
              <w:rPr>
                <w:b/>
              </w:rPr>
            </w:pPr>
            <w:r>
              <w:rPr>
                <w:b/>
              </w:rPr>
              <w:t>N</w:t>
            </w:r>
          </w:p>
        </w:tc>
        <w:tc>
          <w:tcPr>
            <w:tcW w:w="1915" w:type="dxa"/>
          </w:tcPr>
          <w:p w:rsidR="004E28C0" w:rsidRPr="00C57FAC" w:rsidRDefault="004E28C0" w:rsidP="004452D9">
            <w:pPr>
              <w:keepNext/>
              <w:jc w:val="center"/>
              <w:rPr>
                <w:b/>
              </w:rPr>
            </w:pPr>
            <w:r>
              <w:rPr>
                <w:b/>
              </w:rPr>
              <w:t>Percent</w:t>
            </w:r>
          </w:p>
        </w:tc>
        <w:tc>
          <w:tcPr>
            <w:tcW w:w="1916" w:type="dxa"/>
          </w:tcPr>
          <w:p w:rsidR="004E28C0" w:rsidRPr="00C57FAC" w:rsidRDefault="004E28C0" w:rsidP="004452D9">
            <w:pPr>
              <w:keepNext/>
              <w:jc w:val="center"/>
              <w:rPr>
                <w:b/>
              </w:rPr>
            </w:pPr>
            <w:r>
              <w:rPr>
                <w:b/>
              </w:rPr>
              <w:t>N</w:t>
            </w:r>
          </w:p>
        </w:tc>
      </w:tr>
      <w:tr w:rsidR="004E28C0" w:rsidTr="004E28C0">
        <w:tc>
          <w:tcPr>
            <w:tcW w:w="2088" w:type="dxa"/>
          </w:tcPr>
          <w:p w:rsidR="004E28C0" w:rsidRPr="00C57FAC" w:rsidRDefault="004E28C0" w:rsidP="004E28C0">
            <w:pPr>
              <w:rPr>
                <w:b/>
              </w:rPr>
            </w:pPr>
            <w:r>
              <w:rPr>
                <w:b/>
              </w:rPr>
              <w:t>Black</w:t>
            </w:r>
          </w:p>
        </w:tc>
        <w:tc>
          <w:tcPr>
            <w:tcW w:w="1742" w:type="dxa"/>
          </w:tcPr>
          <w:p w:rsidR="004E28C0" w:rsidRDefault="004E28C0" w:rsidP="004E28C0">
            <w:pPr>
              <w:tabs>
                <w:tab w:val="decimal" w:pos="976"/>
              </w:tabs>
            </w:pPr>
            <w:r>
              <w:t>27%</w:t>
            </w:r>
          </w:p>
        </w:tc>
        <w:tc>
          <w:tcPr>
            <w:tcW w:w="1915" w:type="dxa"/>
          </w:tcPr>
          <w:p w:rsidR="004E28C0" w:rsidRDefault="004E28C0" w:rsidP="004E28C0">
            <w:pPr>
              <w:tabs>
                <w:tab w:val="decimal" w:pos="976"/>
              </w:tabs>
            </w:pPr>
            <w:r>
              <w:t>18</w:t>
            </w:r>
          </w:p>
        </w:tc>
        <w:tc>
          <w:tcPr>
            <w:tcW w:w="1915" w:type="dxa"/>
          </w:tcPr>
          <w:p w:rsidR="004E28C0" w:rsidRDefault="004E28C0" w:rsidP="004E28C0">
            <w:pPr>
              <w:tabs>
                <w:tab w:val="decimal" w:pos="976"/>
              </w:tabs>
            </w:pPr>
            <w:r>
              <w:t>-</w:t>
            </w:r>
          </w:p>
        </w:tc>
        <w:tc>
          <w:tcPr>
            <w:tcW w:w="1916" w:type="dxa"/>
          </w:tcPr>
          <w:p w:rsidR="004E28C0" w:rsidRDefault="004E28C0" w:rsidP="004E28C0">
            <w:pPr>
              <w:tabs>
                <w:tab w:val="decimal" w:pos="976"/>
              </w:tabs>
            </w:pPr>
            <w:r>
              <w:t>0</w:t>
            </w:r>
          </w:p>
        </w:tc>
      </w:tr>
      <w:tr w:rsidR="004E28C0" w:rsidTr="004E28C0">
        <w:tc>
          <w:tcPr>
            <w:tcW w:w="2088" w:type="dxa"/>
          </w:tcPr>
          <w:p w:rsidR="004E28C0" w:rsidRPr="00C57FAC" w:rsidRDefault="004E28C0" w:rsidP="004E28C0">
            <w:pPr>
              <w:rPr>
                <w:b/>
              </w:rPr>
            </w:pPr>
            <w:r>
              <w:rPr>
                <w:b/>
              </w:rPr>
              <w:t>Latino</w:t>
            </w:r>
          </w:p>
        </w:tc>
        <w:tc>
          <w:tcPr>
            <w:tcW w:w="1742" w:type="dxa"/>
          </w:tcPr>
          <w:p w:rsidR="004E28C0" w:rsidRDefault="004E28C0" w:rsidP="004E28C0">
            <w:pPr>
              <w:tabs>
                <w:tab w:val="decimal" w:pos="976"/>
              </w:tabs>
            </w:pPr>
            <w:r>
              <w:t>-</w:t>
            </w:r>
          </w:p>
        </w:tc>
        <w:tc>
          <w:tcPr>
            <w:tcW w:w="1915" w:type="dxa"/>
          </w:tcPr>
          <w:p w:rsidR="004E28C0" w:rsidRDefault="004E28C0" w:rsidP="004E28C0">
            <w:pPr>
              <w:tabs>
                <w:tab w:val="decimal" w:pos="976"/>
              </w:tabs>
            </w:pPr>
            <w:r>
              <w:t>0</w:t>
            </w:r>
          </w:p>
        </w:tc>
        <w:tc>
          <w:tcPr>
            <w:tcW w:w="1915" w:type="dxa"/>
          </w:tcPr>
          <w:p w:rsidR="004E28C0" w:rsidRDefault="004E28C0" w:rsidP="004E28C0">
            <w:pPr>
              <w:tabs>
                <w:tab w:val="decimal" w:pos="976"/>
              </w:tabs>
            </w:pPr>
            <w:r>
              <w:t>33%</w:t>
            </w:r>
          </w:p>
        </w:tc>
        <w:tc>
          <w:tcPr>
            <w:tcW w:w="1916" w:type="dxa"/>
          </w:tcPr>
          <w:p w:rsidR="004E28C0" w:rsidRDefault="004E28C0" w:rsidP="004E28C0">
            <w:pPr>
              <w:tabs>
                <w:tab w:val="decimal" w:pos="976"/>
              </w:tabs>
            </w:pPr>
            <w:r>
              <w:t>19</w:t>
            </w:r>
          </w:p>
        </w:tc>
      </w:tr>
      <w:tr w:rsidR="004E28C0" w:rsidTr="004E28C0">
        <w:tc>
          <w:tcPr>
            <w:tcW w:w="2088" w:type="dxa"/>
          </w:tcPr>
          <w:p w:rsidR="004E28C0" w:rsidRPr="00C57FAC" w:rsidRDefault="004E28C0" w:rsidP="004E28C0">
            <w:pPr>
              <w:rPr>
                <w:b/>
              </w:rPr>
            </w:pPr>
            <w:r>
              <w:rPr>
                <w:b/>
              </w:rPr>
              <w:t>Native American</w:t>
            </w:r>
          </w:p>
        </w:tc>
        <w:tc>
          <w:tcPr>
            <w:tcW w:w="1742" w:type="dxa"/>
          </w:tcPr>
          <w:p w:rsidR="004E28C0" w:rsidRDefault="004E28C0" w:rsidP="004E28C0">
            <w:pPr>
              <w:tabs>
                <w:tab w:val="decimal" w:pos="976"/>
              </w:tabs>
            </w:pPr>
            <w:r>
              <w:t>-</w:t>
            </w:r>
          </w:p>
        </w:tc>
        <w:tc>
          <w:tcPr>
            <w:tcW w:w="1915" w:type="dxa"/>
          </w:tcPr>
          <w:p w:rsidR="004E28C0" w:rsidRDefault="004E28C0" w:rsidP="004E28C0">
            <w:pPr>
              <w:tabs>
                <w:tab w:val="decimal" w:pos="976"/>
              </w:tabs>
            </w:pPr>
            <w:r>
              <w:t>0</w:t>
            </w:r>
          </w:p>
        </w:tc>
        <w:tc>
          <w:tcPr>
            <w:tcW w:w="1915" w:type="dxa"/>
          </w:tcPr>
          <w:p w:rsidR="004E28C0" w:rsidRDefault="004E28C0" w:rsidP="004E28C0">
            <w:pPr>
              <w:tabs>
                <w:tab w:val="decimal" w:pos="976"/>
              </w:tabs>
            </w:pPr>
            <w:r>
              <w:t>7%</w:t>
            </w:r>
          </w:p>
        </w:tc>
        <w:tc>
          <w:tcPr>
            <w:tcW w:w="1916" w:type="dxa"/>
          </w:tcPr>
          <w:p w:rsidR="004E28C0" w:rsidRDefault="004E28C0" w:rsidP="004E28C0">
            <w:pPr>
              <w:tabs>
                <w:tab w:val="decimal" w:pos="976"/>
              </w:tabs>
            </w:pPr>
            <w:r>
              <w:t>4</w:t>
            </w:r>
          </w:p>
        </w:tc>
      </w:tr>
      <w:tr w:rsidR="004E28C0" w:rsidTr="004E28C0">
        <w:tc>
          <w:tcPr>
            <w:tcW w:w="2088" w:type="dxa"/>
          </w:tcPr>
          <w:p w:rsidR="004E28C0" w:rsidRPr="00C57FAC" w:rsidRDefault="004E28C0" w:rsidP="004E28C0">
            <w:pPr>
              <w:rPr>
                <w:b/>
              </w:rPr>
            </w:pPr>
            <w:r>
              <w:rPr>
                <w:b/>
              </w:rPr>
              <w:t>White</w:t>
            </w:r>
          </w:p>
        </w:tc>
        <w:tc>
          <w:tcPr>
            <w:tcW w:w="1742" w:type="dxa"/>
          </w:tcPr>
          <w:p w:rsidR="004E28C0" w:rsidRDefault="004E28C0" w:rsidP="004E28C0">
            <w:pPr>
              <w:tabs>
                <w:tab w:val="decimal" w:pos="976"/>
              </w:tabs>
            </w:pPr>
            <w:r>
              <w:t>73%</w:t>
            </w:r>
          </w:p>
        </w:tc>
        <w:tc>
          <w:tcPr>
            <w:tcW w:w="1915" w:type="dxa"/>
          </w:tcPr>
          <w:p w:rsidR="004E28C0" w:rsidRDefault="004E28C0" w:rsidP="004E28C0">
            <w:pPr>
              <w:tabs>
                <w:tab w:val="decimal" w:pos="976"/>
              </w:tabs>
            </w:pPr>
            <w:r>
              <w:t>48</w:t>
            </w:r>
          </w:p>
        </w:tc>
        <w:tc>
          <w:tcPr>
            <w:tcW w:w="1915" w:type="dxa"/>
          </w:tcPr>
          <w:p w:rsidR="004E28C0" w:rsidRDefault="004E28C0" w:rsidP="004E28C0">
            <w:pPr>
              <w:tabs>
                <w:tab w:val="decimal" w:pos="976"/>
              </w:tabs>
            </w:pPr>
            <w:r>
              <w:t>60%</w:t>
            </w:r>
          </w:p>
        </w:tc>
        <w:tc>
          <w:tcPr>
            <w:tcW w:w="1916" w:type="dxa"/>
          </w:tcPr>
          <w:p w:rsidR="004E28C0" w:rsidRDefault="004E28C0" w:rsidP="004E28C0">
            <w:pPr>
              <w:tabs>
                <w:tab w:val="decimal" w:pos="976"/>
              </w:tabs>
            </w:pPr>
            <w:r>
              <w:t>34</w:t>
            </w:r>
          </w:p>
        </w:tc>
      </w:tr>
      <w:tr w:rsidR="004E28C0" w:rsidTr="004E28C0">
        <w:tc>
          <w:tcPr>
            <w:tcW w:w="2088" w:type="dxa"/>
          </w:tcPr>
          <w:p w:rsidR="004E28C0" w:rsidRPr="00C57FAC" w:rsidRDefault="004E28C0" w:rsidP="004E28C0">
            <w:pPr>
              <w:rPr>
                <w:b/>
              </w:rPr>
            </w:pPr>
            <w:r>
              <w:rPr>
                <w:b/>
              </w:rPr>
              <w:t>Total</w:t>
            </w:r>
          </w:p>
        </w:tc>
        <w:tc>
          <w:tcPr>
            <w:tcW w:w="1742" w:type="dxa"/>
          </w:tcPr>
          <w:p w:rsidR="004E28C0" w:rsidRDefault="004E28C0" w:rsidP="004E28C0">
            <w:pPr>
              <w:tabs>
                <w:tab w:val="decimal" w:pos="976"/>
              </w:tabs>
            </w:pPr>
          </w:p>
        </w:tc>
        <w:tc>
          <w:tcPr>
            <w:tcW w:w="1915" w:type="dxa"/>
          </w:tcPr>
          <w:p w:rsidR="004E28C0" w:rsidRDefault="004E28C0" w:rsidP="004E28C0">
            <w:pPr>
              <w:tabs>
                <w:tab w:val="decimal" w:pos="976"/>
              </w:tabs>
            </w:pPr>
            <w:r>
              <w:t>66</w:t>
            </w:r>
          </w:p>
        </w:tc>
        <w:tc>
          <w:tcPr>
            <w:tcW w:w="1915" w:type="dxa"/>
          </w:tcPr>
          <w:p w:rsidR="004E28C0" w:rsidRDefault="004E28C0" w:rsidP="004E28C0">
            <w:pPr>
              <w:tabs>
                <w:tab w:val="decimal" w:pos="976"/>
              </w:tabs>
            </w:pPr>
          </w:p>
        </w:tc>
        <w:tc>
          <w:tcPr>
            <w:tcW w:w="1916" w:type="dxa"/>
          </w:tcPr>
          <w:p w:rsidR="004E28C0" w:rsidRDefault="004E28C0" w:rsidP="004E28C0">
            <w:pPr>
              <w:tabs>
                <w:tab w:val="decimal" w:pos="976"/>
              </w:tabs>
            </w:pPr>
            <w:r>
              <w:t>57</w:t>
            </w:r>
          </w:p>
        </w:tc>
      </w:tr>
    </w:tbl>
    <w:p w:rsidR="004E28C0" w:rsidRDefault="004E28C0" w:rsidP="004E28C0"/>
    <w:p w:rsidR="004E28C0" w:rsidRDefault="004E28C0" w:rsidP="004E28C0"/>
    <w:p w:rsidR="004E28C0" w:rsidRDefault="004E28C0" w:rsidP="004E28C0">
      <w:pPr>
        <w:spacing w:after="200" w:line="480" w:lineRule="auto"/>
        <w:ind w:firstLine="720"/>
      </w:pPr>
      <w:r>
        <w:t>As we can see below, however, Arizona was a Southwestern racial frontier prior to 1877 (which marks the end of Reconstruction if not the closing of the American frontier—usually associated with 1890).  Most (82%) of lynching victims were Latinos and Native Americans.  During this same time Indiana was a more typical Midwestern farming State with anti-horse-thief associations primarily (83% of the time) focused on white people.</w:t>
      </w:r>
    </w:p>
    <w:p w:rsidR="004E28C0" w:rsidRDefault="004E28C0" w:rsidP="004E28C0">
      <w:pPr>
        <w:jc w:val="center"/>
        <w:rPr>
          <w:b/>
        </w:rPr>
      </w:pPr>
    </w:p>
    <w:p w:rsidR="00950CE1" w:rsidRDefault="00950CE1" w:rsidP="00844638">
      <w:pPr>
        <w:keepNext/>
        <w:jc w:val="center"/>
        <w:rPr>
          <w:b/>
        </w:rPr>
      </w:pPr>
      <w:r>
        <w:rPr>
          <w:b/>
        </w:rPr>
        <w:t>Table 6</w:t>
      </w:r>
    </w:p>
    <w:p w:rsidR="004E28C0" w:rsidRPr="00C57FAC" w:rsidRDefault="004E28C0" w:rsidP="00844638">
      <w:pPr>
        <w:keepNext/>
        <w:keepLines/>
        <w:jc w:val="center"/>
        <w:rPr>
          <w:b/>
        </w:rPr>
      </w:pPr>
      <w:r>
        <w:rPr>
          <w:b/>
        </w:rPr>
        <w:t>Lynching by Race in Arizona and Indiana before 1877</w:t>
      </w:r>
    </w:p>
    <w:p w:rsidR="004E28C0" w:rsidRDefault="004E28C0" w:rsidP="00844638">
      <w:pPr>
        <w:keepNext/>
        <w:keepLines/>
      </w:pPr>
    </w:p>
    <w:tbl>
      <w:tblPr>
        <w:tblStyle w:val="TableGrid"/>
        <w:tblW w:w="0" w:type="auto"/>
        <w:tblLook w:val="04A0" w:firstRow="1" w:lastRow="0" w:firstColumn="1" w:lastColumn="0" w:noHBand="0" w:noVBand="1"/>
      </w:tblPr>
      <w:tblGrid>
        <w:gridCol w:w="2088"/>
        <w:gridCol w:w="1742"/>
        <w:gridCol w:w="1915"/>
        <w:gridCol w:w="1915"/>
        <w:gridCol w:w="1916"/>
      </w:tblGrid>
      <w:tr w:rsidR="004E28C0" w:rsidTr="004E28C0">
        <w:tc>
          <w:tcPr>
            <w:tcW w:w="2088" w:type="dxa"/>
          </w:tcPr>
          <w:p w:rsidR="004E28C0" w:rsidRPr="00C57FAC" w:rsidRDefault="004E28C0" w:rsidP="00844638">
            <w:pPr>
              <w:keepNext/>
              <w:keepLines/>
              <w:jc w:val="center"/>
              <w:rPr>
                <w:rFonts w:ascii="Times New Roman" w:hAnsi="Times New Roman" w:cs="Times New Roman"/>
                <w:b/>
                <w:sz w:val="24"/>
                <w:szCs w:val="24"/>
              </w:rPr>
            </w:pPr>
            <w:r>
              <w:rPr>
                <w:b/>
              </w:rPr>
              <w:t>Race</w:t>
            </w:r>
          </w:p>
        </w:tc>
        <w:tc>
          <w:tcPr>
            <w:tcW w:w="3657" w:type="dxa"/>
            <w:gridSpan w:val="2"/>
          </w:tcPr>
          <w:p w:rsidR="004E28C0" w:rsidRPr="00C57FAC" w:rsidRDefault="004E28C0" w:rsidP="00844638">
            <w:pPr>
              <w:keepNext/>
              <w:keepLines/>
              <w:jc w:val="center"/>
              <w:rPr>
                <w:rFonts w:ascii="Times New Roman" w:hAnsi="Times New Roman" w:cs="Times New Roman"/>
                <w:b/>
                <w:sz w:val="24"/>
                <w:szCs w:val="24"/>
              </w:rPr>
            </w:pPr>
            <w:r>
              <w:rPr>
                <w:b/>
              </w:rPr>
              <w:t>Indiana</w:t>
            </w:r>
          </w:p>
        </w:tc>
        <w:tc>
          <w:tcPr>
            <w:tcW w:w="3831" w:type="dxa"/>
            <w:gridSpan w:val="2"/>
          </w:tcPr>
          <w:p w:rsidR="004E28C0" w:rsidRPr="00C57FAC" w:rsidRDefault="004E28C0" w:rsidP="00844638">
            <w:pPr>
              <w:keepNext/>
              <w:keepLines/>
              <w:jc w:val="center"/>
              <w:rPr>
                <w:rFonts w:ascii="Times New Roman" w:hAnsi="Times New Roman" w:cs="Times New Roman"/>
                <w:b/>
                <w:sz w:val="24"/>
                <w:szCs w:val="24"/>
              </w:rPr>
            </w:pPr>
            <w:r>
              <w:rPr>
                <w:b/>
              </w:rPr>
              <w:t>Arizona</w:t>
            </w:r>
          </w:p>
        </w:tc>
      </w:tr>
      <w:tr w:rsidR="004E28C0" w:rsidTr="004E28C0">
        <w:tc>
          <w:tcPr>
            <w:tcW w:w="2088" w:type="dxa"/>
          </w:tcPr>
          <w:p w:rsidR="004E28C0" w:rsidRPr="00C57FAC" w:rsidRDefault="004E28C0" w:rsidP="00844638">
            <w:pPr>
              <w:keepNext/>
              <w:keepLines/>
              <w:rPr>
                <w:rFonts w:ascii="Times New Roman" w:hAnsi="Times New Roman" w:cs="Times New Roman"/>
                <w:b/>
                <w:sz w:val="24"/>
                <w:szCs w:val="24"/>
              </w:rPr>
            </w:pPr>
          </w:p>
        </w:tc>
        <w:tc>
          <w:tcPr>
            <w:tcW w:w="1742" w:type="dxa"/>
          </w:tcPr>
          <w:p w:rsidR="004E28C0" w:rsidRPr="00C57FAC" w:rsidRDefault="004E28C0" w:rsidP="00844638">
            <w:pPr>
              <w:keepNext/>
              <w:keepLines/>
              <w:jc w:val="center"/>
              <w:rPr>
                <w:rFonts w:ascii="Times New Roman" w:hAnsi="Times New Roman" w:cs="Times New Roman"/>
                <w:b/>
                <w:sz w:val="24"/>
                <w:szCs w:val="24"/>
              </w:rPr>
            </w:pPr>
            <w:r>
              <w:rPr>
                <w:b/>
              </w:rPr>
              <w:t>Percent</w:t>
            </w:r>
          </w:p>
        </w:tc>
        <w:tc>
          <w:tcPr>
            <w:tcW w:w="1915" w:type="dxa"/>
          </w:tcPr>
          <w:p w:rsidR="004E28C0" w:rsidRPr="00C57FAC" w:rsidRDefault="004E28C0" w:rsidP="00844638">
            <w:pPr>
              <w:keepNext/>
              <w:keepLines/>
              <w:jc w:val="center"/>
              <w:rPr>
                <w:rFonts w:ascii="Times New Roman" w:hAnsi="Times New Roman" w:cs="Times New Roman"/>
                <w:b/>
                <w:sz w:val="24"/>
                <w:szCs w:val="24"/>
              </w:rPr>
            </w:pPr>
            <w:r>
              <w:rPr>
                <w:b/>
              </w:rPr>
              <w:t>N</w:t>
            </w:r>
          </w:p>
        </w:tc>
        <w:tc>
          <w:tcPr>
            <w:tcW w:w="1915" w:type="dxa"/>
          </w:tcPr>
          <w:p w:rsidR="004E28C0" w:rsidRPr="00C57FAC" w:rsidRDefault="004E28C0" w:rsidP="00844638">
            <w:pPr>
              <w:keepNext/>
              <w:keepLines/>
              <w:jc w:val="center"/>
              <w:rPr>
                <w:rFonts w:ascii="Times New Roman" w:hAnsi="Times New Roman" w:cs="Times New Roman"/>
                <w:b/>
                <w:sz w:val="24"/>
                <w:szCs w:val="24"/>
              </w:rPr>
            </w:pPr>
            <w:r>
              <w:rPr>
                <w:b/>
              </w:rPr>
              <w:t>Percent</w:t>
            </w:r>
          </w:p>
        </w:tc>
        <w:tc>
          <w:tcPr>
            <w:tcW w:w="1916" w:type="dxa"/>
          </w:tcPr>
          <w:p w:rsidR="004E28C0" w:rsidRPr="00C57FAC" w:rsidRDefault="004E28C0" w:rsidP="00844638">
            <w:pPr>
              <w:keepNext/>
              <w:keepLines/>
              <w:jc w:val="center"/>
              <w:rPr>
                <w:rFonts w:ascii="Times New Roman" w:hAnsi="Times New Roman" w:cs="Times New Roman"/>
                <w:b/>
                <w:sz w:val="24"/>
                <w:szCs w:val="24"/>
              </w:rPr>
            </w:pPr>
            <w:r>
              <w:rPr>
                <w:b/>
              </w:rPr>
              <w:t>N</w:t>
            </w:r>
          </w:p>
        </w:tc>
      </w:tr>
      <w:tr w:rsidR="004E28C0" w:rsidTr="004E28C0">
        <w:tc>
          <w:tcPr>
            <w:tcW w:w="2088" w:type="dxa"/>
          </w:tcPr>
          <w:p w:rsidR="004E28C0" w:rsidRPr="00C57FAC" w:rsidRDefault="004E28C0" w:rsidP="00844638">
            <w:pPr>
              <w:keepNext/>
              <w:keepLines/>
              <w:rPr>
                <w:rFonts w:ascii="Times New Roman" w:hAnsi="Times New Roman" w:cs="Times New Roman"/>
                <w:b/>
                <w:sz w:val="24"/>
                <w:szCs w:val="24"/>
              </w:rPr>
            </w:pPr>
            <w:r>
              <w:rPr>
                <w:b/>
              </w:rPr>
              <w:t>Black</w:t>
            </w:r>
          </w:p>
        </w:tc>
        <w:tc>
          <w:tcPr>
            <w:tcW w:w="1742" w:type="dxa"/>
          </w:tcPr>
          <w:p w:rsidR="004E28C0" w:rsidRDefault="004E28C0" w:rsidP="00844638">
            <w:pPr>
              <w:keepNext/>
              <w:keepLines/>
              <w:tabs>
                <w:tab w:val="decimal" w:pos="976"/>
              </w:tabs>
              <w:rPr>
                <w:rFonts w:ascii="Times New Roman" w:hAnsi="Times New Roman" w:cs="Times New Roman"/>
                <w:sz w:val="24"/>
                <w:szCs w:val="24"/>
              </w:rPr>
            </w:pPr>
            <w:r>
              <w:t>17%</w:t>
            </w:r>
          </w:p>
        </w:tc>
        <w:tc>
          <w:tcPr>
            <w:tcW w:w="1915" w:type="dxa"/>
          </w:tcPr>
          <w:p w:rsidR="004E28C0" w:rsidRDefault="004E28C0" w:rsidP="00844638">
            <w:pPr>
              <w:keepNext/>
              <w:keepLines/>
              <w:tabs>
                <w:tab w:val="decimal" w:pos="976"/>
              </w:tabs>
              <w:rPr>
                <w:rFonts w:ascii="Times New Roman" w:hAnsi="Times New Roman" w:cs="Times New Roman"/>
                <w:sz w:val="24"/>
                <w:szCs w:val="24"/>
              </w:rPr>
            </w:pPr>
            <w:r>
              <w:t>4</w:t>
            </w:r>
          </w:p>
        </w:tc>
        <w:tc>
          <w:tcPr>
            <w:tcW w:w="1915" w:type="dxa"/>
          </w:tcPr>
          <w:p w:rsidR="004E28C0" w:rsidRDefault="004E28C0" w:rsidP="00844638">
            <w:pPr>
              <w:keepNext/>
              <w:keepLines/>
              <w:tabs>
                <w:tab w:val="decimal" w:pos="976"/>
              </w:tabs>
              <w:rPr>
                <w:rFonts w:ascii="Times New Roman" w:hAnsi="Times New Roman" w:cs="Times New Roman"/>
                <w:sz w:val="24"/>
                <w:szCs w:val="24"/>
              </w:rPr>
            </w:pPr>
            <w:r>
              <w:t>-</w:t>
            </w:r>
          </w:p>
        </w:tc>
        <w:tc>
          <w:tcPr>
            <w:tcW w:w="1916" w:type="dxa"/>
          </w:tcPr>
          <w:p w:rsidR="004E28C0" w:rsidRDefault="004E28C0" w:rsidP="00844638">
            <w:pPr>
              <w:keepNext/>
              <w:keepLines/>
              <w:tabs>
                <w:tab w:val="decimal" w:pos="976"/>
              </w:tabs>
              <w:rPr>
                <w:rFonts w:ascii="Times New Roman" w:hAnsi="Times New Roman" w:cs="Times New Roman"/>
                <w:sz w:val="24"/>
                <w:szCs w:val="24"/>
              </w:rPr>
            </w:pPr>
            <w:r>
              <w:t>0</w:t>
            </w:r>
          </w:p>
        </w:tc>
      </w:tr>
      <w:tr w:rsidR="004E28C0" w:rsidTr="004E28C0">
        <w:tc>
          <w:tcPr>
            <w:tcW w:w="2088" w:type="dxa"/>
          </w:tcPr>
          <w:p w:rsidR="004E28C0" w:rsidRPr="00C57FAC" w:rsidRDefault="004E28C0" w:rsidP="00844638">
            <w:pPr>
              <w:keepNext/>
              <w:keepLines/>
              <w:rPr>
                <w:rFonts w:ascii="Times New Roman" w:hAnsi="Times New Roman" w:cs="Times New Roman"/>
                <w:b/>
                <w:sz w:val="24"/>
                <w:szCs w:val="24"/>
              </w:rPr>
            </w:pPr>
            <w:r>
              <w:rPr>
                <w:b/>
              </w:rPr>
              <w:t>Latino</w:t>
            </w:r>
          </w:p>
        </w:tc>
        <w:tc>
          <w:tcPr>
            <w:tcW w:w="1742" w:type="dxa"/>
          </w:tcPr>
          <w:p w:rsidR="004E28C0" w:rsidRDefault="004E28C0" w:rsidP="00844638">
            <w:pPr>
              <w:keepNext/>
              <w:keepLines/>
              <w:tabs>
                <w:tab w:val="decimal" w:pos="976"/>
              </w:tabs>
              <w:rPr>
                <w:rFonts w:ascii="Times New Roman" w:hAnsi="Times New Roman" w:cs="Times New Roman"/>
                <w:sz w:val="24"/>
                <w:szCs w:val="24"/>
              </w:rPr>
            </w:pPr>
            <w:r>
              <w:t>-</w:t>
            </w:r>
          </w:p>
        </w:tc>
        <w:tc>
          <w:tcPr>
            <w:tcW w:w="1915" w:type="dxa"/>
          </w:tcPr>
          <w:p w:rsidR="004E28C0" w:rsidRDefault="004E28C0" w:rsidP="00844638">
            <w:pPr>
              <w:keepNext/>
              <w:keepLines/>
              <w:tabs>
                <w:tab w:val="decimal" w:pos="976"/>
              </w:tabs>
              <w:rPr>
                <w:rFonts w:ascii="Times New Roman" w:hAnsi="Times New Roman" w:cs="Times New Roman"/>
                <w:sz w:val="24"/>
                <w:szCs w:val="24"/>
              </w:rPr>
            </w:pPr>
            <w:r>
              <w:t>0</w:t>
            </w:r>
          </w:p>
        </w:tc>
        <w:tc>
          <w:tcPr>
            <w:tcW w:w="1915" w:type="dxa"/>
          </w:tcPr>
          <w:p w:rsidR="004E28C0" w:rsidRDefault="004E28C0" w:rsidP="00844638">
            <w:pPr>
              <w:keepNext/>
              <w:keepLines/>
              <w:tabs>
                <w:tab w:val="decimal" w:pos="976"/>
              </w:tabs>
              <w:rPr>
                <w:rFonts w:ascii="Times New Roman" w:hAnsi="Times New Roman" w:cs="Times New Roman"/>
                <w:sz w:val="24"/>
                <w:szCs w:val="24"/>
              </w:rPr>
            </w:pPr>
            <w:r>
              <w:t>76%</w:t>
            </w:r>
          </w:p>
        </w:tc>
        <w:tc>
          <w:tcPr>
            <w:tcW w:w="1916" w:type="dxa"/>
          </w:tcPr>
          <w:p w:rsidR="004E28C0" w:rsidRDefault="004E28C0" w:rsidP="00844638">
            <w:pPr>
              <w:keepNext/>
              <w:keepLines/>
              <w:tabs>
                <w:tab w:val="decimal" w:pos="976"/>
              </w:tabs>
              <w:rPr>
                <w:rFonts w:ascii="Times New Roman" w:hAnsi="Times New Roman" w:cs="Times New Roman"/>
                <w:sz w:val="24"/>
                <w:szCs w:val="24"/>
              </w:rPr>
            </w:pPr>
            <w:r>
              <w:t>13</w:t>
            </w:r>
          </w:p>
        </w:tc>
      </w:tr>
      <w:tr w:rsidR="004E28C0" w:rsidTr="004E28C0">
        <w:tc>
          <w:tcPr>
            <w:tcW w:w="2088" w:type="dxa"/>
          </w:tcPr>
          <w:p w:rsidR="004E28C0" w:rsidRPr="00C57FAC" w:rsidRDefault="004E28C0" w:rsidP="00E210E8">
            <w:pPr>
              <w:keepLines/>
              <w:rPr>
                <w:b/>
              </w:rPr>
            </w:pPr>
            <w:r>
              <w:rPr>
                <w:b/>
              </w:rPr>
              <w:t>Native American</w:t>
            </w:r>
          </w:p>
        </w:tc>
        <w:tc>
          <w:tcPr>
            <w:tcW w:w="1742" w:type="dxa"/>
          </w:tcPr>
          <w:p w:rsidR="004E28C0" w:rsidRDefault="004E28C0" w:rsidP="00E210E8">
            <w:pPr>
              <w:keepLines/>
              <w:tabs>
                <w:tab w:val="decimal" w:pos="976"/>
              </w:tabs>
            </w:pPr>
            <w:r>
              <w:t>-</w:t>
            </w:r>
          </w:p>
        </w:tc>
        <w:tc>
          <w:tcPr>
            <w:tcW w:w="1915" w:type="dxa"/>
          </w:tcPr>
          <w:p w:rsidR="004E28C0" w:rsidRDefault="004E28C0" w:rsidP="00E210E8">
            <w:pPr>
              <w:keepLines/>
              <w:tabs>
                <w:tab w:val="decimal" w:pos="976"/>
              </w:tabs>
            </w:pPr>
            <w:r>
              <w:t>0</w:t>
            </w:r>
          </w:p>
        </w:tc>
        <w:tc>
          <w:tcPr>
            <w:tcW w:w="1915" w:type="dxa"/>
          </w:tcPr>
          <w:p w:rsidR="004E28C0" w:rsidRDefault="004E28C0" w:rsidP="00E210E8">
            <w:pPr>
              <w:keepLines/>
              <w:tabs>
                <w:tab w:val="decimal" w:pos="976"/>
              </w:tabs>
            </w:pPr>
            <w:r>
              <w:t>6%</w:t>
            </w:r>
          </w:p>
        </w:tc>
        <w:tc>
          <w:tcPr>
            <w:tcW w:w="1916" w:type="dxa"/>
          </w:tcPr>
          <w:p w:rsidR="004E28C0" w:rsidRDefault="004E28C0" w:rsidP="00E210E8">
            <w:pPr>
              <w:keepLines/>
              <w:tabs>
                <w:tab w:val="decimal" w:pos="976"/>
              </w:tabs>
            </w:pPr>
            <w:r>
              <w:t>1</w:t>
            </w:r>
          </w:p>
        </w:tc>
      </w:tr>
      <w:tr w:rsidR="004E28C0" w:rsidTr="004E28C0">
        <w:tc>
          <w:tcPr>
            <w:tcW w:w="2088" w:type="dxa"/>
          </w:tcPr>
          <w:p w:rsidR="004E28C0" w:rsidRPr="00C57FAC" w:rsidRDefault="004E28C0" w:rsidP="00E210E8">
            <w:pPr>
              <w:keepLines/>
              <w:rPr>
                <w:b/>
              </w:rPr>
            </w:pPr>
            <w:r>
              <w:rPr>
                <w:b/>
              </w:rPr>
              <w:t>White</w:t>
            </w:r>
          </w:p>
        </w:tc>
        <w:tc>
          <w:tcPr>
            <w:tcW w:w="1742" w:type="dxa"/>
          </w:tcPr>
          <w:p w:rsidR="004E28C0" w:rsidRDefault="004E28C0" w:rsidP="00E210E8">
            <w:pPr>
              <w:keepLines/>
              <w:tabs>
                <w:tab w:val="decimal" w:pos="976"/>
              </w:tabs>
            </w:pPr>
            <w:r>
              <w:t>83%</w:t>
            </w:r>
          </w:p>
        </w:tc>
        <w:tc>
          <w:tcPr>
            <w:tcW w:w="1915" w:type="dxa"/>
          </w:tcPr>
          <w:p w:rsidR="004E28C0" w:rsidRDefault="004E28C0" w:rsidP="00E210E8">
            <w:pPr>
              <w:keepLines/>
              <w:tabs>
                <w:tab w:val="decimal" w:pos="976"/>
              </w:tabs>
            </w:pPr>
            <w:r>
              <w:t>20</w:t>
            </w:r>
          </w:p>
        </w:tc>
        <w:tc>
          <w:tcPr>
            <w:tcW w:w="1915" w:type="dxa"/>
          </w:tcPr>
          <w:p w:rsidR="004E28C0" w:rsidRDefault="004E28C0" w:rsidP="00E210E8">
            <w:pPr>
              <w:keepLines/>
              <w:tabs>
                <w:tab w:val="decimal" w:pos="976"/>
              </w:tabs>
            </w:pPr>
            <w:r>
              <w:t>18%</w:t>
            </w:r>
          </w:p>
        </w:tc>
        <w:tc>
          <w:tcPr>
            <w:tcW w:w="1916" w:type="dxa"/>
          </w:tcPr>
          <w:p w:rsidR="004E28C0" w:rsidRDefault="004E28C0" w:rsidP="00E210E8">
            <w:pPr>
              <w:keepLines/>
              <w:tabs>
                <w:tab w:val="decimal" w:pos="976"/>
              </w:tabs>
            </w:pPr>
            <w:r>
              <w:t>3</w:t>
            </w:r>
          </w:p>
        </w:tc>
      </w:tr>
      <w:tr w:rsidR="004E28C0" w:rsidTr="004E28C0">
        <w:tc>
          <w:tcPr>
            <w:tcW w:w="2088" w:type="dxa"/>
          </w:tcPr>
          <w:p w:rsidR="004E28C0" w:rsidRPr="00C57FAC" w:rsidRDefault="004E28C0" w:rsidP="00E210E8">
            <w:pPr>
              <w:keepLines/>
              <w:rPr>
                <w:b/>
              </w:rPr>
            </w:pPr>
            <w:r>
              <w:rPr>
                <w:b/>
              </w:rPr>
              <w:t>Total</w:t>
            </w:r>
          </w:p>
        </w:tc>
        <w:tc>
          <w:tcPr>
            <w:tcW w:w="1742" w:type="dxa"/>
          </w:tcPr>
          <w:p w:rsidR="004E28C0" w:rsidRDefault="004E28C0" w:rsidP="00E210E8">
            <w:pPr>
              <w:keepLines/>
              <w:tabs>
                <w:tab w:val="decimal" w:pos="976"/>
              </w:tabs>
            </w:pPr>
          </w:p>
        </w:tc>
        <w:tc>
          <w:tcPr>
            <w:tcW w:w="1915" w:type="dxa"/>
          </w:tcPr>
          <w:p w:rsidR="004E28C0" w:rsidRDefault="004E28C0" w:rsidP="00E210E8">
            <w:pPr>
              <w:keepLines/>
              <w:tabs>
                <w:tab w:val="decimal" w:pos="976"/>
              </w:tabs>
            </w:pPr>
            <w:r>
              <w:t>24</w:t>
            </w:r>
          </w:p>
        </w:tc>
        <w:tc>
          <w:tcPr>
            <w:tcW w:w="1915" w:type="dxa"/>
          </w:tcPr>
          <w:p w:rsidR="004E28C0" w:rsidRDefault="004E28C0" w:rsidP="00E210E8">
            <w:pPr>
              <w:keepLines/>
              <w:tabs>
                <w:tab w:val="decimal" w:pos="976"/>
              </w:tabs>
            </w:pPr>
          </w:p>
        </w:tc>
        <w:tc>
          <w:tcPr>
            <w:tcW w:w="1916" w:type="dxa"/>
          </w:tcPr>
          <w:p w:rsidR="004E28C0" w:rsidRDefault="004E28C0" w:rsidP="00E210E8">
            <w:pPr>
              <w:keepLines/>
              <w:tabs>
                <w:tab w:val="decimal" w:pos="976"/>
              </w:tabs>
            </w:pPr>
            <w:r>
              <w:t>17</w:t>
            </w:r>
          </w:p>
        </w:tc>
      </w:tr>
    </w:tbl>
    <w:p w:rsidR="004E28C0" w:rsidRDefault="004E28C0" w:rsidP="004E28C0"/>
    <w:p w:rsidR="004E28C0" w:rsidRDefault="004E28C0" w:rsidP="004E28C0">
      <w:pPr>
        <w:spacing w:after="200" w:line="276" w:lineRule="auto"/>
      </w:pPr>
      <w:r>
        <w:tab/>
      </w:r>
    </w:p>
    <w:p w:rsidR="004E28C0" w:rsidRDefault="004E28C0" w:rsidP="004E28C0">
      <w:pPr>
        <w:spacing w:after="200" w:line="480" w:lineRule="auto"/>
        <w:ind w:firstLine="720"/>
      </w:pPr>
      <w:r>
        <w:t xml:space="preserve">Between 1877 and 1890, however, Arizona looked more like Indiana, although the number of lynching victims doubled, perhaps because Arizona still lacked State government authority (until 1912).  Nevertheless, these Arizonans were </w:t>
      </w:r>
      <w:r w:rsidR="008B2A8F">
        <w:t>“</w:t>
      </w:r>
      <w:r>
        <w:t>lynching</w:t>
      </w:r>
      <w:r w:rsidR="008B2A8F">
        <w:t>”</w:t>
      </w:r>
      <w:r>
        <w:t xml:space="preserve"> white desperadoes.  The race wars with Mexican</w:t>
      </w:r>
      <w:r w:rsidR="00CE56A6">
        <w:t>,</w:t>
      </w:r>
      <w:r>
        <w:t xml:space="preserve"> Apache, or Comanche freedom fighters had subsided (see Hall 1989).</w:t>
      </w:r>
    </w:p>
    <w:p w:rsidR="00950CE1" w:rsidRDefault="00950CE1" w:rsidP="004E28C0">
      <w:pPr>
        <w:jc w:val="center"/>
        <w:rPr>
          <w:b/>
        </w:rPr>
      </w:pPr>
      <w:r>
        <w:rPr>
          <w:b/>
        </w:rPr>
        <w:t>Table 7</w:t>
      </w:r>
    </w:p>
    <w:p w:rsidR="004E28C0" w:rsidRPr="00C57FAC" w:rsidRDefault="004E28C0" w:rsidP="004E28C0">
      <w:pPr>
        <w:jc w:val="center"/>
        <w:rPr>
          <w:b/>
        </w:rPr>
      </w:pPr>
      <w:r>
        <w:rPr>
          <w:b/>
        </w:rPr>
        <w:t>Lynching by Race in Arizona and Indiana 1877-1889</w:t>
      </w:r>
    </w:p>
    <w:p w:rsidR="004E28C0" w:rsidRDefault="004E28C0" w:rsidP="004E28C0"/>
    <w:tbl>
      <w:tblPr>
        <w:tblStyle w:val="TableGrid"/>
        <w:tblW w:w="0" w:type="auto"/>
        <w:tblLook w:val="04A0" w:firstRow="1" w:lastRow="0" w:firstColumn="1" w:lastColumn="0" w:noHBand="0" w:noVBand="1"/>
      </w:tblPr>
      <w:tblGrid>
        <w:gridCol w:w="2088"/>
        <w:gridCol w:w="1742"/>
        <w:gridCol w:w="1915"/>
        <w:gridCol w:w="1915"/>
        <w:gridCol w:w="1916"/>
      </w:tblGrid>
      <w:tr w:rsidR="004E28C0" w:rsidTr="004E28C0">
        <w:tc>
          <w:tcPr>
            <w:tcW w:w="2088" w:type="dxa"/>
          </w:tcPr>
          <w:p w:rsidR="004E28C0" w:rsidRPr="00C57FAC" w:rsidRDefault="004E28C0" w:rsidP="004E28C0">
            <w:pPr>
              <w:jc w:val="center"/>
              <w:rPr>
                <w:b/>
              </w:rPr>
            </w:pPr>
            <w:r>
              <w:rPr>
                <w:b/>
              </w:rPr>
              <w:t>Race</w:t>
            </w:r>
          </w:p>
        </w:tc>
        <w:tc>
          <w:tcPr>
            <w:tcW w:w="3657" w:type="dxa"/>
            <w:gridSpan w:val="2"/>
          </w:tcPr>
          <w:p w:rsidR="004E28C0" w:rsidRPr="00C57FAC" w:rsidRDefault="004E28C0" w:rsidP="004E28C0">
            <w:pPr>
              <w:jc w:val="center"/>
              <w:rPr>
                <w:b/>
              </w:rPr>
            </w:pPr>
            <w:r>
              <w:rPr>
                <w:b/>
              </w:rPr>
              <w:t>Indiana</w:t>
            </w:r>
          </w:p>
        </w:tc>
        <w:tc>
          <w:tcPr>
            <w:tcW w:w="3831" w:type="dxa"/>
            <w:gridSpan w:val="2"/>
          </w:tcPr>
          <w:p w:rsidR="004E28C0" w:rsidRPr="00C57FAC" w:rsidRDefault="004E28C0" w:rsidP="004E28C0">
            <w:pPr>
              <w:jc w:val="center"/>
              <w:rPr>
                <w:b/>
              </w:rPr>
            </w:pPr>
            <w:r>
              <w:rPr>
                <w:b/>
              </w:rPr>
              <w:t>Arizona</w:t>
            </w:r>
          </w:p>
        </w:tc>
      </w:tr>
      <w:tr w:rsidR="004E28C0" w:rsidTr="004E28C0">
        <w:tc>
          <w:tcPr>
            <w:tcW w:w="2088" w:type="dxa"/>
          </w:tcPr>
          <w:p w:rsidR="004E28C0" w:rsidRPr="00C57FAC" w:rsidRDefault="004E28C0" w:rsidP="004E28C0">
            <w:pPr>
              <w:rPr>
                <w:b/>
              </w:rPr>
            </w:pPr>
          </w:p>
        </w:tc>
        <w:tc>
          <w:tcPr>
            <w:tcW w:w="1742" w:type="dxa"/>
          </w:tcPr>
          <w:p w:rsidR="004E28C0" w:rsidRPr="00C57FAC" w:rsidRDefault="004E28C0" w:rsidP="004E28C0">
            <w:pPr>
              <w:jc w:val="center"/>
              <w:rPr>
                <w:b/>
              </w:rPr>
            </w:pPr>
            <w:r>
              <w:rPr>
                <w:b/>
              </w:rPr>
              <w:t>Percent</w:t>
            </w:r>
          </w:p>
        </w:tc>
        <w:tc>
          <w:tcPr>
            <w:tcW w:w="1915" w:type="dxa"/>
          </w:tcPr>
          <w:p w:rsidR="004E28C0" w:rsidRPr="00C57FAC" w:rsidRDefault="004E28C0" w:rsidP="004E28C0">
            <w:pPr>
              <w:jc w:val="center"/>
              <w:rPr>
                <w:b/>
              </w:rPr>
            </w:pPr>
            <w:r>
              <w:rPr>
                <w:b/>
              </w:rPr>
              <w:t>N</w:t>
            </w:r>
          </w:p>
        </w:tc>
        <w:tc>
          <w:tcPr>
            <w:tcW w:w="1915" w:type="dxa"/>
          </w:tcPr>
          <w:p w:rsidR="004E28C0" w:rsidRPr="00C57FAC" w:rsidRDefault="004E28C0" w:rsidP="004E28C0">
            <w:pPr>
              <w:jc w:val="center"/>
              <w:rPr>
                <w:b/>
              </w:rPr>
            </w:pPr>
            <w:r>
              <w:rPr>
                <w:b/>
              </w:rPr>
              <w:t>Percent</w:t>
            </w:r>
          </w:p>
        </w:tc>
        <w:tc>
          <w:tcPr>
            <w:tcW w:w="1916" w:type="dxa"/>
          </w:tcPr>
          <w:p w:rsidR="004E28C0" w:rsidRPr="00C57FAC" w:rsidRDefault="004E28C0" w:rsidP="004E28C0">
            <w:pPr>
              <w:jc w:val="center"/>
              <w:rPr>
                <w:b/>
              </w:rPr>
            </w:pPr>
            <w:r>
              <w:rPr>
                <w:b/>
              </w:rPr>
              <w:t>N</w:t>
            </w:r>
          </w:p>
        </w:tc>
      </w:tr>
      <w:tr w:rsidR="004E28C0" w:rsidTr="004E28C0">
        <w:tc>
          <w:tcPr>
            <w:tcW w:w="2088" w:type="dxa"/>
          </w:tcPr>
          <w:p w:rsidR="004E28C0" w:rsidRPr="00C57FAC" w:rsidRDefault="004E28C0" w:rsidP="004E28C0">
            <w:pPr>
              <w:rPr>
                <w:b/>
              </w:rPr>
            </w:pPr>
            <w:r>
              <w:rPr>
                <w:b/>
              </w:rPr>
              <w:t>Black</w:t>
            </w:r>
          </w:p>
        </w:tc>
        <w:tc>
          <w:tcPr>
            <w:tcW w:w="1742" w:type="dxa"/>
          </w:tcPr>
          <w:p w:rsidR="004E28C0" w:rsidRDefault="004E28C0" w:rsidP="004E28C0">
            <w:pPr>
              <w:tabs>
                <w:tab w:val="decimal" w:pos="976"/>
              </w:tabs>
            </w:pPr>
            <w:r>
              <w:t>25%</w:t>
            </w:r>
          </w:p>
        </w:tc>
        <w:tc>
          <w:tcPr>
            <w:tcW w:w="1915" w:type="dxa"/>
          </w:tcPr>
          <w:p w:rsidR="004E28C0" w:rsidRDefault="004E28C0" w:rsidP="004E28C0">
            <w:pPr>
              <w:tabs>
                <w:tab w:val="decimal" w:pos="976"/>
              </w:tabs>
            </w:pPr>
            <w:r>
              <w:t>6</w:t>
            </w:r>
          </w:p>
        </w:tc>
        <w:tc>
          <w:tcPr>
            <w:tcW w:w="1915" w:type="dxa"/>
          </w:tcPr>
          <w:p w:rsidR="004E28C0" w:rsidRDefault="004E28C0" w:rsidP="004E28C0">
            <w:pPr>
              <w:tabs>
                <w:tab w:val="decimal" w:pos="976"/>
              </w:tabs>
            </w:pPr>
            <w:r>
              <w:t>-</w:t>
            </w:r>
          </w:p>
        </w:tc>
        <w:tc>
          <w:tcPr>
            <w:tcW w:w="1916" w:type="dxa"/>
          </w:tcPr>
          <w:p w:rsidR="004E28C0" w:rsidRDefault="004E28C0" w:rsidP="004E28C0">
            <w:pPr>
              <w:tabs>
                <w:tab w:val="decimal" w:pos="976"/>
              </w:tabs>
            </w:pPr>
            <w:r>
              <w:t>0</w:t>
            </w:r>
          </w:p>
        </w:tc>
      </w:tr>
      <w:tr w:rsidR="004E28C0" w:rsidTr="004E28C0">
        <w:tc>
          <w:tcPr>
            <w:tcW w:w="2088" w:type="dxa"/>
          </w:tcPr>
          <w:p w:rsidR="004E28C0" w:rsidRPr="00C57FAC" w:rsidRDefault="004E28C0" w:rsidP="004E28C0">
            <w:pPr>
              <w:rPr>
                <w:b/>
              </w:rPr>
            </w:pPr>
            <w:r>
              <w:rPr>
                <w:b/>
              </w:rPr>
              <w:t>Latino</w:t>
            </w:r>
          </w:p>
        </w:tc>
        <w:tc>
          <w:tcPr>
            <w:tcW w:w="1742" w:type="dxa"/>
          </w:tcPr>
          <w:p w:rsidR="004E28C0" w:rsidRDefault="004E28C0" w:rsidP="004E28C0">
            <w:pPr>
              <w:tabs>
                <w:tab w:val="decimal" w:pos="976"/>
              </w:tabs>
            </w:pPr>
            <w:r>
              <w:t>-</w:t>
            </w:r>
          </w:p>
        </w:tc>
        <w:tc>
          <w:tcPr>
            <w:tcW w:w="1915" w:type="dxa"/>
          </w:tcPr>
          <w:p w:rsidR="004E28C0" w:rsidRDefault="004E28C0" w:rsidP="004E28C0">
            <w:pPr>
              <w:tabs>
                <w:tab w:val="decimal" w:pos="976"/>
              </w:tabs>
            </w:pPr>
            <w:r>
              <w:t>0</w:t>
            </w:r>
          </w:p>
        </w:tc>
        <w:tc>
          <w:tcPr>
            <w:tcW w:w="1915" w:type="dxa"/>
          </w:tcPr>
          <w:p w:rsidR="004E28C0" w:rsidRDefault="004E28C0" w:rsidP="004E28C0">
            <w:pPr>
              <w:tabs>
                <w:tab w:val="decimal" w:pos="976"/>
              </w:tabs>
            </w:pPr>
            <w:r>
              <w:t>11%</w:t>
            </w:r>
          </w:p>
        </w:tc>
        <w:tc>
          <w:tcPr>
            <w:tcW w:w="1916" w:type="dxa"/>
          </w:tcPr>
          <w:p w:rsidR="004E28C0" w:rsidRDefault="004E28C0" w:rsidP="004E28C0">
            <w:pPr>
              <w:tabs>
                <w:tab w:val="decimal" w:pos="976"/>
              </w:tabs>
            </w:pPr>
            <w:r>
              <w:t>4</w:t>
            </w:r>
          </w:p>
        </w:tc>
      </w:tr>
      <w:tr w:rsidR="004E28C0" w:rsidTr="004E28C0">
        <w:tc>
          <w:tcPr>
            <w:tcW w:w="2088" w:type="dxa"/>
          </w:tcPr>
          <w:p w:rsidR="004E28C0" w:rsidRPr="00C57FAC" w:rsidRDefault="004E28C0" w:rsidP="004E28C0">
            <w:pPr>
              <w:rPr>
                <w:b/>
              </w:rPr>
            </w:pPr>
            <w:r>
              <w:rPr>
                <w:b/>
              </w:rPr>
              <w:t>Native American</w:t>
            </w:r>
          </w:p>
        </w:tc>
        <w:tc>
          <w:tcPr>
            <w:tcW w:w="1742" w:type="dxa"/>
          </w:tcPr>
          <w:p w:rsidR="004E28C0" w:rsidRDefault="004E28C0" w:rsidP="004E28C0">
            <w:pPr>
              <w:tabs>
                <w:tab w:val="decimal" w:pos="976"/>
              </w:tabs>
            </w:pPr>
            <w:r>
              <w:t>-</w:t>
            </w:r>
          </w:p>
        </w:tc>
        <w:tc>
          <w:tcPr>
            <w:tcW w:w="1915" w:type="dxa"/>
          </w:tcPr>
          <w:p w:rsidR="004E28C0" w:rsidRDefault="004E28C0" w:rsidP="004E28C0">
            <w:pPr>
              <w:tabs>
                <w:tab w:val="decimal" w:pos="976"/>
              </w:tabs>
            </w:pPr>
            <w:r>
              <w:t>0</w:t>
            </w:r>
          </w:p>
        </w:tc>
        <w:tc>
          <w:tcPr>
            <w:tcW w:w="1915" w:type="dxa"/>
          </w:tcPr>
          <w:p w:rsidR="004E28C0" w:rsidRDefault="004E28C0" w:rsidP="004E28C0">
            <w:pPr>
              <w:tabs>
                <w:tab w:val="decimal" w:pos="976"/>
              </w:tabs>
            </w:pPr>
            <w:r>
              <w:t>6%</w:t>
            </w:r>
          </w:p>
        </w:tc>
        <w:tc>
          <w:tcPr>
            <w:tcW w:w="1916" w:type="dxa"/>
          </w:tcPr>
          <w:p w:rsidR="004E28C0" w:rsidRDefault="004E28C0" w:rsidP="004E28C0">
            <w:pPr>
              <w:tabs>
                <w:tab w:val="decimal" w:pos="976"/>
              </w:tabs>
            </w:pPr>
            <w:r>
              <w:t>2</w:t>
            </w:r>
          </w:p>
        </w:tc>
      </w:tr>
      <w:tr w:rsidR="004E28C0" w:rsidTr="004E28C0">
        <w:tc>
          <w:tcPr>
            <w:tcW w:w="2088" w:type="dxa"/>
          </w:tcPr>
          <w:p w:rsidR="004E28C0" w:rsidRPr="00C57FAC" w:rsidRDefault="004E28C0" w:rsidP="004E28C0">
            <w:pPr>
              <w:rPr>
                <w:b/>
              </w:rPr>
            </w:pPr>
            <w:r>
              <w:rPr>
                <w:b/>
              </w:rPr>
              <w:t>White</w:t>
            </w:r>
          </w:p>
        </w:tc>
        <w:tc>
          <w:tcPr>
            <w:tcW w:w="1742" w:type="dxa"/>
          </w:tcPr>
          <w:p w:rsidR="004E28C0" w:rsidRDefault="004E28C0" w:rsidP="004E28C0">
            <w:pPr>
              <w:tabs>
                <w:tab w:val="decimal" w:pos="976"/>
              </w:tabs>
            </w:pPr>
            <w:r>
              <w:t>75%</w:t>
            </w:r>
          </w:p>
        </w:tc>
        <w:tc>
          <w:tcPr>
            <w:tcW w:w="1915" w:type="dxa"/>
          </w:tcPr>
          <w:p w:rsidR="004E28C0" w:rsidRDefault="004E28C0" w:rsidP="004E28C0">
            <w:pPr>
              <w:tabs>
                <w:tab w:val="decimal" w:pos="976"/>
              </w:tabs>
            </w:pPr>
            <w:r>
              <w:t>18</w:t>
            </w:r>
          </w:p>
        </w:tc>
        <w:tc>
          <w:tcPr>
            <w:tcW w:w="1915" w:type="dxa"/>
          </w:tcPr>
          <w:p w:rsidR="004E28C0" w:rsidRDefault="004E28C0" w:rsidP="004E28C0">
            <w:pPr>
              <w:tabs>
                <w:tab w:val="decimal" w:pos="976"/>
              </w:tabs>
            </w:pPr>
            <w:r>
              <w:t>83%</w:t>
            </w:r>
          </w:p>
        </w:tc>
        <w:tc>
          <w:tcPr>
            <w:tcW w:w="1916" w:type="dxa"/>
          </w:tcPr>
          <w:p w:rsidR="004E28C0" w:rsidRDefault="004E28C0" w:rsidP="004E28C0">
            <w:pPr>
              <w:tabs>
                <w:tab w:val="decimal" w:pos="976"/>
              </w:tabs>
            </w:pPr>
            <w:r>
              <w:t>30</w:t>
            </w:r>
          </w:p>
        </w:tc>
      </w:tr>
      <w:tr w:rsidR="004E28C0" w:rsidTr="004E28C0">
        <w:tc>
          <w:tcPr>
            <w:tcW w:w="2088" w:type="dxa"/>
          </w:tcPr>
          <w:p w:rsidR="004E28C0" w:rsidRPr="00C57FAC" w:rsidRDefault="004E28C0" w:rsidP="004E28C0">
            <w:pPr>
              <w:rPr>
                <w:b/>
              </w:rPr>
            </w:pPr>
            <w:r>
              <w:rPr>
                <w:b/>
              </w:rPr>
              <w:t>Total</w:t>
            </w:r>
          </w:p>
        </w:tc>
        <w:tc>
          <w:tcPr>
            <w:tcW w:w="1742" w:type="dxa"/>
          </w:tcPr>
          <w:p w:rsidR="004E28C0" w:rsidRDefault="004E28C0" w:rsidP="004E28C0">
            <w:pPr>
              <w:tabs>
                <w:tab w:val="decimal" w:pos="976"/>
              </w:tabs>
            </w:pPr>
          </w:p>
        </w:tc>
        <w:tc>
          <w:tcPr>
            <w:tcW w:w="1915" w:type="dxa"/>
          </w:tcPr>
          <w:p w:rsidR="004E28C0" w:rsidRDefault="004E28C0" w:rsidP="004E28C0">
            <w:pPr>
              <w:tabs>
                <w:tab w:val="decimal" w:pos="976"/>
              </w:tabs>
            </w:pPr>
            <w:r>
              <w:t>24</w:t>
            </w:r>
          </w:p>
        </w:tc>
        <w:tc>
          <w:tcPr>
            <w:tcW w:w="1915" w:type="dxa"/>
          </w:tcPr>
          <w:p w:rsidR="004E28C0" w:rsidRDefault="004E28C0" w:rsidP="004E28C0">
            <w:pPr>
              <w:tabs>
                <w:tab w:val="decimal" w:pos="976"/>
              </w:tabs>
            </w:pPr>
          </w:p>
        </w:tc>
        <w:tc>
          <w:tcPr>
            <w:tcW w:w="1916" w:type="dxa"/>
          </w:tcPr>
          <w:p w:rsidR="004E28C0" w:rsidRDefault="004E28C0" w:rsidP="004E28C0">
            <w:pPr>
              <w:tabs>
                <w:tab w:val="decimal" w:pos="976"/>
              </w:tabs>
            </w:pPr>
            <w:r>
              <w:t>36</w:t>
            </w:r>
          </w:p>
        </w:tc>
      </w:tr>
    </w:tbl>
    <w:p w:rsidR="004E28C0" w:rsidRDefault="004E28C0" w:rsidP="004E28C0"/>
    <w:p w:rsidR="004E28C0" w:rsidRDefault="004E28C0" w:rsidP="004E28C0">
      <w:pPr>
        <w:spacing w:after="200" w:line="276" w:lineRule="auto"/>
      </w:pPr>
    </w:p>
    <w:p w:rsidR="004E28C0" w:rsidRDefault="004E28C0" w:rsidP="004E28C0">
      <w:pPr>
        <w:spacing w:after="200" w:line="480" w:lineRule="auto"/>
      </w:pPr>
      <w:r>
        <w:tab/>
        <w:t xml:space="preserve">After 1889, during the Southern lynching era, Arizona had all but abandoned lynching.  Arizona lynch mobs claimed only four victims, according to these data, so it is impossible to evaluate racial disparities after 1889.  Hoosiers, however, sustained lynching, albeit at somewhat lower rates, and victimization became racial—44% of victims were black.  Here we see the Klan effect and, in the history of lynching in Indiana, the difference between vigilance committees </w:t>
      </w:r>
      <w:r w:rsidR="00CE56A6">
        <w:t>and property owner association</w:t>
      </w:r>
      <w:r w:rsidR="006F3E4B">
        <w:t>s</w:t>
      </w:r>
      <w:r w:rsidR="00CE56A6">
        <w:t xml:space="preserve">, </w:t>
      </w:r>
      <w:r>
        <w:t>such as the farmer’s and cattlemen’s clubs of the West</w:t>
      </w:r>
      <w:r w:rsidR="00CE56A6">
        <w:t xml:space="preserve"> (Hogan 1990),</w:t>
      </w:r>
      <w:r>
        <w:t xml:space="preserve"> and the Klan </w:t>
      </w:r>
      <w:r w:rsidR="00CE56A6">
        <w:t>(</w:t>
      </w:r>
      <w:r>
        <w:t>McVeigh 2009).  The difference is class versus status (or race) as the interest that underlies party claims (see Weber 1978).</w:t>
      </w:r>
    </w:p>
    <w:p w:rsidR="00950CE1" w:rsidRDefault="00950CE1" w:rsidP="004E28C0">
      <w:pPr>
        <w:jc w:val="center"/>
        <w:rPr>
          <w:b/>
        </w:rPr>
      </w:pPr>
      <w:r>
        <w:rPr>
          <w:b/>
        </w:rPr>
        <w:t>Table 8</w:t>
      </w:r>
    </w:p>
    <w:p w:rsidR="004E28C0" w:rsidRPr="00C57FAC" w:rsidRDefault="004E28C0" w:rsidP="004E28C0">
      <w:pPr>
        <w:jc w:val="center"/>
        <w:rPr>
          <w:b/>
        </w:rPr>
      </w:pPr>
      <w:r>
        <w:rPr>
          <w:b/>
        </w:rPr>
        <w:t>Lynching by Race in Arizona and Indiana after 1889</w:t>
      </w:r>
    </w:p>
    <w:p w:rsidR="004E28C0" w:rsidRDefault="004E28C0" w:rsidP="004E28C0"/>
    <w:tbl>
      <w:tblPr>
        <w:tblStyle w:val="TableGrid"/>
        <w:tblW w:w="0" w:type="auto"/>
        <w:tblLook w:val="04A0" w:firstRow="1" w:lastRow="0" w:firstColumn="1" w:lastColumn="0" w:noHBand="0" w:noVBand="1"/>
      </w:tblPr>
      <w:tblGrid>
        <w:gridCol w:w="2088"/>
        <w:gridCol w:w="1742"/>
        <w:gridCol w:w="1915"/>
        <w:gridCol w:w="1915"/>
        <w:gridCol w:w="1916"/>
      </w:tblGrid>
      <w:tr w:rsidR="004E28C0" w:rsidTr="004E28C0">
        <w:tc>
          <w:tcPr>
            <w:tcW w:w="2088" w:type="dxa"/>
          </w:tcPr>
          <w:p w:rsidR="004E28C0" w:rsidRPr="00C57FAC" w:rsidRDefault="004E28C0" w:rsidP="004E28C0">
            <w:pPr>
              <w:jc w:val="center"/>
              <w:rPr>
                <w:b/>
              </w:rPr>
            </w:pPr>
            <w:r>
              <w:rPr>
                <w:b/>
              </w:rPr>
              <w:t>Race</w:t>
            </w:r>
          </w:p>
        </w:tc>
        <w:tc>
          <w:tcPr>
            <w:tcW w:w="3657" w:type="dxa"/>
            <w:gridSpan w:val="2"/>
          </w:tcPr>
          <w:p w:rsidR="004E28C0" w:rsidRPr="00C57FAC" w:rsidRDefault="004E28C0" w:rsidP="004E28C0">
            <w:pPr>
              <w:jc w:val="center"/>
              <w:rPr>
                <w:b/>
              </w:rPr>
            </w:pPr>
            <w:r>
              <w:rPr>
                <w:b/>
              </w:rPr>
              <w:t>Indiana</w:t>
            </w:r>
          </w:p>
        </w:tc>
        <w:tc>
          <w:tcPr>
            <w:tcW w:w="3831" w:type="dxa"/>
            <w:gridSpan w:val="2"/>
          </w:tcPr>
          <w:p w:rsidR="004E28C0" w:rsidRPr="00C57FAC" w:rsidRDefault="004E28C0" w:rsidP="004E28C0">
            <w:pPr>
              <w:jc w:val="center"/>
              <w:rPr>
                <w:b/>
              </w:rPr>
            </w:pPr>
            <w:r>
              <w:rPr>
                <w:b/>
              </w:rPr>
              <w:t>Arizona</w:t>
            </w:r>
          </w:p>
        </w:tc>
      </w:tr>
      <w:tr w:rsidR="004E28C0" w:rsidTr="004E28C0">
        <w:tc>
          <w:tcPr>
            <w:tcW w:w="2088" w:type="dxa"/>
          </w:tcPr>
          <w:p w:rsidR="004E28C0" w:rsidRPr="00C57FAC" w:rsidRDefault="004E28C0" w:rsidP="004E28C0">
            <w:pPr>
              <w:rPr>
                <w:b/>
              </w:rPr>
            </w:pPr>
          </w:p>
        </w:tc>
        <w:tc>
          <w:tcPr>
            <w:tcW w:w="1742" w:type="dxa"/>
          </w:tcPr>
          <w:p w:rsidR="004E28C0" w:rsidRPr="00C57FAC" w:rsidRDefault="004E28C0" w:rsidP="004E28C0">
            <w:pPr>
              <w:jc w:val="center"/>
              <w:rPr>
                <w:b/>
              </w:rPr>
            </w:pPr>
            <w:r>
              <w:rPr>
                <w:b/>
              </w:rPr>
              <w:t>Percent</w:t>
            </w:r>
          </w:p>
        </w:tc>
        <w:tc>
          <w:tcPr>
            <w:tcW w:w="1915" w:type="dxa"/>
          </w:tcPr>
          <w:p w:rsidR="004E28C0" w:rsidRPr="00C57FAC" w:rsidRDefault="004E28C0" w:rsidP="004E28C0">
            <w:pPr>
              <w:jc w:val="center"/>
              <w:rPr>
                <w:b/>
              </w:rPr>
            </w:pPr>
            <w:r>
              <w:rPr>
                <w:b/>
              </w:rPr>
              <w:t>N</w:t>
            </w:r>
          </w:p>
        </w:tc>
        <w:tc>
          <w:tcPr>
            <w:tcW w:w="1915" w:type="dxa"/>
          </w:tcPr>
          <w:p w:rsidR="004E28C0" w:rsidRPr="00C57FAC" w:rsidRDefault="004E28C0" w:rsidP="004E28C0">
            <w:pPr>
              <w:jc w:val="center"/>
              <w:rPr>
                <w:b/>
              </w:rPr>
            </w:pPr>
            <w:r>
              <w:rPr>
                <w:b/>
              </w:rPr>
              <w:t>Percent</w:t>
            </w:r>
          </w:p>
        </w:tc>
        <w:tc>
          <w:tcPr>
            <w:tcW w:w="1916" w:type="dxa"/>
          </w:tcPr>
          <w:p w:rsidR="004E28C0" w:rsidRPr="00C57FAC" w:rsidRDefault="004E28C0" w:rsidP="004E28C0">
            <w:pPr>
              <w:jc w:val="center"/>
              <w:rPr>
                <w:b/>
              </w:rPr>
            </w:pPr>
            <w:r>
              <w:rPr>
                <w:b/>
              </w:rPr>
              <w:t>N</w:t>
            </w:r>
          </w:p>
        </w:tc>
      </w:tr>
      <w:tr w:rsidR="004E28C0" w:rsidTr="004E28C0">
        <w:tc>
          <w:tcPr>
            <w:tcW w:w="2088" w:type="dxa"/>
          </w:tcPr>
          <w:p w:rsidR="004E28C0" w:rsidRPr="00C57FAC" w:rsidRDefault="004E28C0" w:rsidP="004E28C0">
            <w:pPr>
              <w:rPr>
                <w:b/>
              </w:rPr>
            </w:pPr>
            <w:r>
              <w:rPr>
                <w:b/>
              </w:rPr>
              <w:t>Black</w:t>
            </w:r>
          </w:p>
        </w:tc>
        <w:tc>
          <w:tcPr>
            <w:tcW w:w="1742" w:type="dxa"/>
          </w:tcPr>
          <w:p w:rsidR="004E28C0" w:rsidRDefault="004E28C0" w:rsidP="004E28C0">
            <w:pPr>
              <w:tabs>
                <w:tab w:val="decimal" w:pos="976"/>
              </w:tabs>
            </w:pPr>
            <w:r>
              <w:t>44%</w:t>
            </w:r>
          </w:p>
        </w:tc>
        <w:tc>
          <w:tcPr>
            <w:tcW w:w="1915" w:type="dxa"/>
          </w:tcPr>
          <w:p w:rsidR="004E28C0" w:rsidRDefault="004E28C0" w:rsidP="004E28C0">
            <w:pPr>
              <w:tabs>
                <w:tab w:val="decimal" w:pos="976"/>
              </w:tabs>
            </w:pPr>
            <w:r>
              <w:t>8</w:t>
            </w:r>
          </w:p>
        </w:tc>
        <w:tc>
          <w:tcPr>
            <w:tcW w:w="1915" w:type="dxa"/>
          </w:tcPr>
          <w:p w:rsidR="004E28C0" w:rsidRDefault="004E28C0" w:rsidP="004E28C0">
            <w:pPr>
              <w:tabs>
                <w:tab w:val="decimal" w:pos="976"/>
              </w:tabs>
            </w:pPr>
            <w:r>
              <w:t>-</w:t>
            </w:r>
          </w:p>
        </w:tc>
        <w:tc>
          <w:tcPr>
            <w:tcW w:w="1916" w:type="dxa"/>
          </w:tcPr>
          <w:p w:rsidR="004E28C0" w:rsidRDefault="004E28C0" w:rsidP="004E28C0">
            <w:pPr>
              <w:tabs>
                <w:tab w:val="decimal" w:pos="976"/>
              </w:tabs>
            </w:pPr>
            <w:r>
              <w:t>0</w:t>
            </w:r>
          </w:p>
        </w:tc>
      </w:tr>
      <w:tr w:rsidR="004E28C0" w:rsidTr="004E28C0">
        <w:tc>
          <w:tcPr>
            <w:tcW w:w="2088" w:type="dxa"/>
          </w:tcPr>
          <w:p w:rsidR="004E28C0" w:rsidRPr="00C57FAC" w:rsidRDefault="004E28C0" w:rsidP="004E28C0">
            <w:pPr>
              <w:rPr>
                <w:b/>
              </w:rPr>
            </w:pPr>
            <w:r>
              <w:rPr>
                <w:b/>
              </w:rPr>
              <w:t>Latino</w:t>
            </w:r>
          </w:p>
        </w:tc>
        <w:tc>
          <w:tcPr>
            <w:tcW w:w="1742" w:type="dxa"/>
          </w:tcPr>
          <w:p w:rsidR="004E28C0" w:rsidRDefault="004E28C0" w:rsidP="004E28C0">
            <w:pPr>
              <w:tabs>
                <w:tab w:val="decimal" w:pos="976"/>
              </w:tabs>
            </w:pPr>
            <w:r>
              <w:t>-</w:t>
            </w:r>
          </w:p>
        </w:tc>
        <w:tc>
          <w:tcPr>
            <w:tcW w:w="1915" w:type="dxa"/>
          </w:tcPr>
          <w:p w:rsidR="004E28C0" w:rsidRDefault="004E28C0" w:rsidP="004E28C0">
            <w:pPr>
              <w:tabs>
                <w:tab w:val="decimal" w:pos="976"/>
              </w:tabs>
            </w:pPr>
            <w:r>
              <w:t>0</w:t>
            </w:r>
          </w:p>
        </w:tc>
        <w:tc>
          <w:tcPr>
            <w:tcW w:w="1915" w:type="dxa"/>
          </w:tcPr>
          <w:p w:rsidR="004E28C0" w:rsidRDefault="004E28C0" w:rsidP="004E28C0">
            <w:pPr>
              <w:tabs>
                <w:tab w:val="decimal" w:pos="976"/>
              </w:tabs>
            </w:pPr>
            <w:r>
              <w:t>50%</w:t>
            </w:r>
          </w:p>
        </w:tc>
        <w:tc>
          <w:tcPr>
            <w:tcW w:w="1916" w:type="dxa"/>
          </w:tcPr>
          <w:p w:rsidR="004E28C0" w:rsidRDefault="004E28C0" w:rsidP="004E28C0">
            <w:pPr>
              <w:tabs>
                <w:tab w:val="decimal" w:pos="976"/>
              </w:tabs>
            </w:pPr>
            <w:r>
              <w:t>2</w:t>
            </w:r>
          </w:p>
        </w:tc>
      </w:tr>
      <w:tr w:rsidR="004E28C0" w:rsidTr="004E28C0">
        <w:tc>
          <w:tcPr>
            <w:tcW w:w="2088" w:type="dxa"/>
          </w:tcPr>
          <w:p w:rsidR="004E28C0" w:rsidRPr="00C57FAC" w:rsidRDefault="004E28C0" w:rsidP="004E28C0">
            <w:pPr>
              <w:rPr>
                <w:b/>
              </w:rPr>
            </w:pPr>
            <w:r>
              <w:rPr>
                <w:b/>
              </w:rPr>
              <w:t>Native American</w:t>
            </w:r>
          </w:p>
        </w:tc>
        <w:tc>
          <w:tcPr>
            <w:tcW w:w="1742" w:type="dxa"/>
          </w:tcPr>
          <w:p w:rsidR="004E28C0" w:rsidRDefault="004E28C0" w:rsidP="004E28C0">
            <w:pPr>
              <w:tabs>
                <w:tab w:val="decimal" w:pos="976"/>
              </w:tabs>
            </w:pPr>
            <w:r>
              <w:t>-</w:t>
            </w:r>
          </w:p>
        </w:tc>
        <w:tc>
          <w:tcPr>
            <w:tcW w:w="1915" w:type="dxa"/>
          </w:tcPr>
          <w:p w:rsidR="004E28C0" w:rsidRDefault="004E28C0" w:rsidP="004E28C0">
            <w:pPr>
              <w:tabs>
                <w:tab w:val="decimal" w:pos="976"/>
              </w:tabs>
            </w:pPr>
            <w:r>
              <w:t>0</w:t>
            </w:r>
          </w:p>
        </w:tc>
        <w:tc>
          <w:tcPr>
            <w:tcW w:w="1915" w:type="dxa"/>
          </w:tcPr>
          <w:p w:rsidR="004E28C0" w:rsidRDefault="004E28C0" w:rsidP="004E28C0">
            <w:pPr>
              <w:tabs>
                <w:tab w:val="decimal" w:pos="976"/>
              </w:tabs>
            </w:pPr>
            <w:r>
              <w:t>25%</w:t>
            </w:r>
          </w:p>
        </w:tc>
        <w:tc>
          <w:tcPr>
            <w:tcW w:w="1916" w:type="dxa"/>
          </w:tcPr>
          <w:p w:rsidR="004E28C0" w:rsidRDefault="004E28C0" w:rsidP="004E28C0">
            <w:pPr>
              <w:tabs>
                <w:tab w:val="decimal" w:pos="976"/>
              </w:tabs>
            </w:pPr>
            <w:r>
              <w:t>1</w:t>
            </w:r>
          </w:p>
        </w:tc>
      </w:tr>
      <w:tr w:rsidR="004E28C0" w:rsidTr="004E28C0">
        <w:tc>
          <w:tcPr>
            <w:tcW w:w="2088" w:type="dxa"/>
          </w:tcPr>
          <w:p w:rsidR="004E28C0" w:rsidRPr="00C57FAC" w:rsidRDefault="004E28C0" w:rsidP="004E28C0">
            <w:pPr>
              <w:rPr>
                <w:b/>
              </w:rPr>
            </w:pPr>
            <w:r>
              <w:rPr>
                <w:b/>
              </w:rPr>
              <w:t>White</w:t>
            </w:r>
          </w:p>
        </w:tc>
        <w:tc>
          <w:tcPr>
            <w:tcW w:w="1742" w:type="dxa"/>
          </w:tcPr>
          <w:p w:rsidR="004E28C0" w:rsidRDefault="004E28C0" w:rsidP="004E28C0">
            <w:pPr>
              <w:tabs>
                <w:tab w:val="decimal" w:pos="976"/>
              </w:tabs>
            </w:pPr>
            <w:r>
              <w:t>56%</w:t>
            </w:r>
          </w:p>
        </w:tc>
        <w:tc>
          <w:tcPr>
            <w:tcW w:w="1915" w:type="dxa"/>
          </w:tcPr>
          <w:p w:rsidR="004E28C0" w:rsidRDefault="004E28C0" w:rsidP="004E28C0">
            <w:pPr>
              <w:tabs>
                <w:tab w:val="decimal" w:pos="976"/>
              </w:tabs>
            </w:pPr>
            <w:r>
              <w:t>10</w:t>
            </w:r>
          </w:p>
        </w:tc>
        <w:tc>
          <w:tcPr>
            <w:tcW w:w="1915" w:type="dxa"/>
          </w:tcPr>
          <w:p w:rsidR="004E28C0" w:rsidRDefault="004E28C0" w:rsidP="004E28C0">
            <w:pPr>
              <w:tabs>
                <w:tab w:val="decimal" w:pos="976"/>
              </w:tabs>
            </w:pPr>
            <w:r>
              <w:t>25%</w:t>
            </w:r>
          </w:p>
        </w:tc>
        <w:tc>
          <w:tcPr>
            <w:tcW w:w="1916" w:type="dxa"/>
          </w:tcPr>
          <w:p w:rsidR="004E28C0" w:rsidRDefault="004E28C0" w:rsidP="004E28C0">
            <w:pPr>
              <w:tabs>
                <w:tab w:val="decimal" w:pos="976"/>
              </w:tabs>
            </w:pPr>
            <w:r>
              <w:t>1</w:t>
            </w:r>
          </w:p>
        </w:tc>
      </w:tr>
      <w:tr w:rsidR="004E28C0" w:rsidTr="004E28C0">
        <w:tc>
          <w:tcPr>
            <w:tcW w:w="2088" w:type="dxa"/>
          </w:tcPr>
          <w:p w:rsidR="004E28C0" w:rsidRPr="00C57FAC" w:rsidRDefault="004E28C0" w:rsidP="004E28C0">
            <w:pPr>
              <w:rPr>
                <w:b/>
              </w:rPr>
            </w:pPr>
            <w:r>
              <w:rPr>
                <w:b/>
              </w:rPr>
              <w:t>Total</w:t>
            </w:r>
          </w:p>
        </w:tc>
        <w:tc>
          <w:tcPr>
            <w:tcW w:w="1742" w:type="dxa"/>
          </w:tcPr>
          <w:p w:rsidR="004E28C0" w:rsidRDefault="004E28C0" w:rsidP="004E28C0">
            <w:pPr>
              <w:tabs>
                <w:tab w:val="decimal" w:pos="976"/>
              </w:tabs>
            </w:pPr>
          </w:p>
        </w:tc>
        <w:tc>
          <w:tcPr>
            <w:tcW w:w="1915" w:type="dxa"/>
          </w:tcPr>
          <w:p w:rsidR="004E28C0" w:rsidRDefault="004E28C0" w:rsidP="004E28C0">
            <w:pPr>
              <w:tabs>
                <w:tab w:val="decimal" w:pos="976"/>
              </w:tabs>
            </w:pPr>
            <w:r>
              <w:t>18</w:t>
            </w:r>
          </w:p>
        </w:tc>
        <w:tc>
          <w:tcPr>
            <w:tcW w:w="1915" w:type="dxa"/>
          </w:tcPr>
          <w:p w:rsidR="004E28C0" w:rsidRDefault="004E28C0" w:rsidP="004E28C0">
            <w:pPr>
              <w:tabs>
                <w:tab w:val="decimal" w:pos="976"/>
              </w:tabs>
            </w:pPr>
          </w:p>
        </w:tc>
        <w:tc>
          <w:tcPr>
            <w:tcW w:w="1916" w:type="dxa"/>
          </w:tcPr>
          <w:p w:rsidR="004E28C0" w:rsidRDefault="004E28C0" w:rsidP="004E28C0">
            <w:pPr>
              <w:tabs>
                <w:tab w:val="decimal" w:pos="976"/>
              </w:tabs>
            </w:pPr>
            <w:r>
              <w:t>4</w:t>
            </w:r>
          </w:p>
        </w:tc>
      </w:tr>
    </w:tbl>
    <w:p w:rsidR="004E28C0" w:rsidRDefault="004E28C0" w:rsidP="004E28C0"/>
    <w:p w:rsidR="004E28C0" w:rsidRDefault="004E28C0" w:rsidP="004E28C0">
      <w:pPr>
        <w:spacing w:after="200" w:line="276" w:lineRule="auto"/>
      </w:pPr>
    </w:p>
    <w:p w:rsidR="004E28C0" w:rsidRDefault="004E28C0" w:rsidP="004E28C0">
      <w:pPr>
        <w:spacing w:after="200" w:line="480" w:lineRule="auto"/>
      </w:pPr>
      <w:r>
        <w:tab/>
        <w:t>These data challenge us to accommodate the intersecting and sometimes interactive effects of time and place, which extend far beyond typical efforts to estimate region and temporal effects in multivariate models.  As we can see in comparing lynching vi</w:t>
      </w:r>
      <w:r w:rsidR="00381B15">
        <w:t>ctimization across States, in Table 9</w:t>
      </w:r>
      <w:r>
        <w:t xml:space="preserve">, not every Midwestern State (e.g., Michigan, Wisconsin, and Minnesota) lynched like Indiana, nor did every Western State (e.g., Utah and Oregon) approach Arizona.  Quite apart from the sampling issues (which </w:t>
      </w:r>
      <w:r w:rsidR="00C65D4F">
        <w:t xml:space="preserve">we can </w:t>
      </w:r>
      <w:r>
        <w:t xml:space="preserve">save for another occasion), it is clear that Pueblo, </w:t>
      </w:r>
      <w:r>
        <w:lastRenderedPageBreak/>
        <w:t>Colorado</w:t>
      </w:r>
      <w:r w:rsidR="00E210E8">
        <w:t>,</w:t>
      </w:r>
      <w:r>
        <w:t xml:space="preserve"> was more New Mexican than Denver, but Colorado, in general was distinctively different from its Southern neighbor, just as Arizona and New Mexico were different from each other.  Where social science meets history, we need to be careful.  Tremendous insights are possible but so are spurious results.  The further we get from our data, the more perilous is our attempt to generalize</w:t>
      </w:r>
      <w:r w:rsidR="00E41964">
        <w:t>.</w:t>
      </w:r>
    </w:p>
    <w:p w:rsidR="00950CE1" w:rsidRDefault="00950CE1" w:rsidP="00844638">
      <w:pPr>
        <w:keepNext/>
        <w:jc w:val="center"/>
        <w:rPr>
          <w:b/>
        </w:rPr>
      </w:pPr>
      <w:r>
        <w:rPr>
          <w:b/>
        </w:rPr>
        <w:t>Table 9</w:t>
      </w:r>
    </w:p>
    <w:p w:rsidR="004E28C0" w:rsidRDefault="005E1ECF" w:rsidP="00844638">
      <w:pPr>
        <w:keepNext/>
        <w:spacing w:after="200"/>
        <w:jc w:val="center"/>
        <w:rPr>
          <w:b/>
        </w:rPr>
      </w:pPr>
      <w:r>
        <w:rPr>
          <w:b/>
        </w:rPr>
        <w:t xml:space="preserve">Non-South </w:t>
      </w:r>
      <w:r w:rsidR="004E28C0" w:rsidRPr="008309E3">
        <w:rPr>
          <w:b/>
        </w:rPr>
        <w:t>Lynching Victimization by Region and State</w:t>
      </w:r>
      <w:r>
        <w:rPr>
          <w:b/>
        </w:rPr>
        <w:t>, 1837-1943</w:t>
      </w:r>
      <w:r w:rsidR="004E28C0">
        <w:rPr>
          <w:b/>
        </w:rPr>
        <w:t xml:space="preserve"> (N=578)</w:t>
      </w:r>
    </w:p>
    <w:tbl>
      <w:tblPr>
        <w:tblStyle w:val="LightShading"/>
        <w:tblW w:w="0" w:type="auto"/>
        <w:tblLook w:val="06A0" w:firstRow="1" w:lastRow="0" w:firstColumn="1" w:lastColumn="0" w:noHBand="1" w:noVBand="1"/>
      </w:tblPr>
      <w:tblGrid>
        <w:gridCol w:w="1728"/>
        <w:gridCol w:w="1464"/>
        <w:gridCol w:w="1596"/>
        <w:gridCol w:w="1596"/>
        <w:gridCol w:w="1596"/>
        <w:gridCol w:w="1596"/>
      </w:tblGrid>
      <w:tr w:rsidR="004E28C0" w:rsidTr="004E28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auto"/>
              <w:left w:val="single" w:sz="4" w:space="0" w:color="auto"/>
              <w:bottom w:val="single" w:sz="4" w:space="0" w:color="auto"/>
              <w:right w:val="single" w:sz="4" w:space="0" w:color="auto"/>
            </w:tcBorders>
            <w:shd w:val="clear" w:color="auto" w:fill="4F81BD" w:themeFill="accent1"/>
          </w:tcPr>
          <w:p w:rsidR="004E28C0" w:rsidRPr="0053503F" w:rsidRDefault="004E28C0" w:rsidP="00844638">
            <w:pPr>
              <w:keepNext/>
              <w:jc w:val="center"/>
              <w:rPr>
                <w:rFonts w:ascii="Times New Roman" w:hAnsi="Times New Roman" w:cs="Times New Roman"/>
                <w:b w:val="0"/>
                <w:bCs w:val="0"/>
                <w:color w:val="auto"/>
                <w:sz w:val="24"/>
                <w:szCs w:val="24"/>
              </w:rPr>
            </w:pPr>
            <w:r w:rsidRPr="0053503F">
              <w:t>Region</w:t>
            </w:r>
          </w:p>
        </w:tc>
        <w:tc>
          <w:tcPr>
            <w:tcW w:w="1464" w:type="dxa"/>
            <w:tcBorders>
              <w:top w:val="single" w:sz="4" w:space="0" w:color="auto"/>
              <w:left w:val="single" w:sz="4" w:space="0" w:color="auto"/>
              <w:bottom w:val="single" w:sz="4" w:space="0" w:color="auto"/>
              <w:right w:val="single" w:sz="4" w:space="0" w:color="auto"/>
            </w:tcBorders>
            <w:shd w:val="clear" w:color="auto" w:fill="4F81BD" w:themeFill="accent1"/>
          </w:tcPr>
          <w:p w:rsidR="004E28C0" w:rsidRPr="0053503F" w:rsidRDefault="004E28C0" w:rsidP="00844638">
            <w:pPr>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53503F">
              <w:t>State</w:t>
            </w:r>
          </w:p>
        </w:tc>
        <w:tc>
          <w:tcPr>
            <w:tcW w:w="1596" w:type="dxa"/>
            <w:tcBorders>
              <w:top w:val="single" w:sz="4" w:space="0" w:color="auto"/>
              <w:left w:val="single" w:sz="4" w:space="0" w:color="auto"/>
              <w:bottom w:val="single" w:sz="4" w:space="0" w:color="auto"/>
              <w:right w:val="single" w:sz="4" w:space="0" w:color="auto"/>
            </w:tcBorders>
            <w:shd w:val="clear" w:color="auto" w:fill="4F81BD" w:themeFill="accent1"/>
          </w:tcPr>
          <w:p w:rsidR="004E28C0" w:rsidRPr="0053503F" w:rsidRDefault="004E28C0" w:rsidP="00844638">
            <w:pPr>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53503F">
              <w:t>N</w:t>
            </w:r>
          </w:p>
        </w:tc>
        <w:tc>
          <w:tcPr>
            <w:tcW w:w="1596" w:type="dxa"/>
            <w:tcBorders>
              <w:top w:val="single" w:sz="4" w:space="0" w:color="auto"/>
              <w:left w:val="single" w:sz="4" w:space="0" w:color="auto"/>
              <w:bottom w:val="single" w:sz="4" w:space="0" w:color="auto"/>
              <w:right w:val="single" w:sz="4" w:space="0" w:color="auto"/>
            </w:tcBorders>
            <w:shd w:val="clear" w:color="auto" w:fill="4F81BD" w:themeFill="accent1"/>
          </w:tcPr>
          <w:p w:rsidR="004E28C0" w:rsidRPr="0053503F" w:rsidRDefault="004E28C0" w:rsidP="00844638">
            <w:pPr>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53503F">
              <w:t>Region</w:t>
            </w:r>
          </w:p>
        </w:tc>
        <w:tc>
          <w:tcPr>
            <w:tcW w:w="1596" w:type="dxa"/>
            <w:tcBorders>
              <w:top w:val="single" w:sz="4" w:space="0" w:color="auto"/>
              <w:left w:val="single" w:sz="4" w:space="0" w:color="auto"/>
              <w:bottom w:val="single" w:sz="4" w:space="0" w:color="auto"/>
              <w:right w:val="single" w:sz="4" w:space="0" w:color="auto"/>
            </w:tcBorders>
            <w:shd w:val="clear" w:color="auto" w:fill="4F81BD" w:themeFill="accent1"/>
          </w:tcPr>
          <w:p w:rsidR="004E28C0" w:rsidRPr="0053503F" w:rsidRDefault="004E28C0" w:rsidP="00844638">
            <w:pPr>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53503F">
              <w:t>State</w:t>
            </w:r>
          </w:p>
        </w:tc>
        <w:tc>
          <w:tcPr>
            <w:tcW w:w="1596" w:type="dxa"/>
            <w:tcBorders>
              <w:top w:val="single" w:sz="4" w:space="0" w:color="auto"/>
              <w:left w:val="single" w:sz="4" w:space="0" w:color="auto"/>
              <w:bottom w:val="single" w:sz="4" w:space="0" w:color="auto"/>
              <w:right w:val="single" w:sz="4" w:space="0" w:color="auto"/>
            </w:tcBorders>
            <w:shd w:val="clear" w:color="auto" w:fill="4F81BD" w:themeFill="accent1"/>
          </w:tcPr>
          <w:p w:rsidR="004E28C0" w:rsidRPr="0053503F" w:rsidRDefault="004E28C0" w:rsidP="00844638">
            <w:pPr>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53503F">
              <w:t>N</w:t>
            </w:r>
          </w:p>
        </w:tc>
      </w:tr>
      <w:tr w:rsidR="004E28C0" w:rsidTr="004E28C0">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auto"/>
              <w:left w:val="single" w:sz="4" w:space="0" w:color="auto"/>
              <w:bottom w:val="single" w:sz="4" w:space="0" w:color="auto"/>
              <w:right w:val="single" w:sz="4" w:space="0" w:color="auto"/>
            </w:tcBorders>
          </w:tcPr>
          <w:p w:rsidR="004E28C0" w:rsidRPr="00A079A3" w:rsidRDefault="004E28C0" w:rsidP="00EF4655">
            <w:r w:rsidRPr="00A079A3">
              <w:t>Midwest</w:t>
            </w:r>
          </w:p>
        </w:tc>
        <w:tc>
          <w:tcPr>
            <w:tcW w:w="1464" w:type="dxa"/>
            <w:tcBorders>
              <w:top w:val="single" w:sz="4" w:space="0" w:color="auto"/>
              <w:left w:val="single" w:sz="4" w:space="0" w:color="auto"/>
              <w:bottom w:val="single" w:sz="4" w:space="0" w:color="auto"/>
              <w:right w:val="single" w:sz="4" w:space="0" w:color="auto"/>
            </w:tcBorders>
          </w:tcPr>
          <w:p w:rsidR="004E28C0" w:rsidRPr="00F73FD5" w:rsidRDefault="004E28C0" w:rsidP="00EF4655">
            <w:pPr>
              <w:cnfStyle w:val="000000000000" w:firstRow="0" w:lastRow="0" w:firstColumn="0" w:lastColumn="0" w:oddVBand="0" w:evenVBand="0" w:oddHBand="0" w:evenHBand="0" w:firstRowFirstColumn="0" w:firstRowLastColumn="0" w:lastRowFirstColumn="0" w:lastRowLastColumn="0"/>
              <w:rPr>
                <w:b/>
              </w:rPr>
            </w:pPr>
            <w:r w:rsidRPr="00F73FD5">
              <w:rPr>
                <w:b/>
              </w:rPr>
              <w:t>Total</w:t>
            </w:r>
          </w:p>
        </w:tc>
        <w:tc>
          <w:tcPr>
            <w:tcW w:w="1596" w:type="dxa"/>
            <w:tcBorders>
              <w:top w:val="single" w:sz="4" w:space="0" w:color="auto"/>
              <w:left w:val="single" w:sz="4" w:space="0" w:color="auto"/>
              <w:bottom w:val="single" w:sz="4" w:space="0" w:color="auto"/>
              <w:right w:val="single" w:sz="4" w:space="0" w:color="auto"/>
            </w:tcBorders>
          </w:tcPr>
          <w:p w:rsidR="004E28C0" w:rsidRPr="00F73FD5" w:rsidRDefault="004E28C0" w:rsidP="00EF4655">
            <w:pPr>
              <w:tabs>
                <w:tab w:val="decimal" w:pos="927"/>
              </w:tabs>
              <w:cnfStyle w:val="000000000000" w:firstRow="0" w:lastRow="0" w:firstColumn="0" w:lastColumn="0" w:oddVBand="0" w:evenVBand="0" w:oddHBand="0" w:evenHBand="0" w:firstRowFirstColumn="0" w:firstRowLastColumn="0" w:lastRowFirstColumn="0" w:lastRowLastColumn="0"/>
              <w:rPr>
                <w:b/>
              </w:rPr>
            </w:pPr>
            <w:r w:rsidRPr="00F73FD5">
              <w:rPr>
                <w:b/>
              </w:rPr>
              <w:t>298</w:t>
            </w:r>
          </w:p>
        </w:tc>
        <w:tc>
          <w:tcPr>
            <w:tcW w:w="1596" w:type="dxa"/>
            <w:tcBorders>
              <w:top w:val="single" w:sz="4" w:space="0" w:color="auto"/>
              <w:left w:val="single" w:sz="4" w:space="0" w:color="auto"/>
              <w:bottom w:val="single" w:sz="4" w:space="0" w:color="auto"/>
              <w:right w:val="single" w:sz="4" w:space="0" w:color="auto"/>
            </w:tcBorders>
          </w:tcPr>
          <w:p w:rsidR="004E28C0" w:rsidRPr="00F73FD5" w:rsidRDefault="004E28C0" w:rsidP="00EF4655">
            <w:pPr>
              <w:cnfStyle w:val="000000000000" w:firstRow="0" w:lastRow="0" w:firstColumn="0" w:lastColumn="0" w:oddVBand="0" w:evenVBand="0" w:oddHBand="0" w:evenHBand="0" w:firstRowFirstColumn="0" w:firstRowLastColumn="0" w:lastRowFirstColumn="0" w:lastRowLastColumn="0"/>
              <w:rPr>
                <w:b/>
              </w:rPr>
            </w:pPr>
            <w:r w:rsidRPr="00F73FD5">
              <w:rPr>
                <w:b/>
              </w:rPr>
              <w:t>North East</w:t>
            </w:r>
          </w:p>
        </w:tc>
        <w:tc>
          <w:tcPr>
            <w:tcW w:w="1596" w:type="dxa"/>
            <w:tcBorders>
              <w:top w:val="single" w:sz="4" w:space="0" w:color="auto"/>
              <w:left w:val="single" w:sz="4" w:space="0" w:color="auto"/>
              <w:bottom w:val="single" w:sz="4" w:space="0" w:color="auto"/>
              <w:right w:val="single" w:sz="4" w:space="0" w:color="auto"/>
            </w:tcBorders>
          </w:tcPr>
          <w:p w:rsidR="004E28C0" w:rsidRPr="00F73FD5" w:rsidRDefault="004E28C0" w:rsidP="00EF4655">
            <w:pPr>
              <w:cnfStyle w:val="000000000000" w:firstRow="0" w:lastRow="0" w:firstColumn="0" w:lastColumn="0" w:oddVBand="0" w:evenVBand="0" w:oddHBand="0" w:evenHBand="0" w:firstRowFirstColumn="0" w:firstRowLastColumn="0" w:lastRowFirstColumn="0" w:lastRowLastColumn="0"/>
              <w:rPr>
                <w:b/>
              </w:rPr>
            </w:pPr>
            <w:r w:rsidRPr="00F73FD5">
              <w:rPr>
                <w:b/>
              </w:rPr>
              <w:t>Total</w:t>
            </w:r>
          </w:p>
        </w:tc>
        <w:tc>
          <w:tcPr>
            <w:tcW w:w="1596" w:type="dxa"/>
            <w:tcBorders>
              <w:top w:val="single" w:sz="4" w:space="0" w:color="auto"/>
              <w:left w:val="single" w:sz="4" w:space="0" w:color="auto"/>
              <w:bottom w:val="single" w:sz="4" w:space="0" w:color="auto"/>
              <w:right w:val="single" w:sz="4" w:space="0" w:color="auto"/>
            </w:tcBorders>
          </w:tcPr>
          <w:p w:rsidR="004E28C0" w:rsidRPr="00F73FD5" w:rsidRDefault="004E28C0" w:rsidP="00EF4655">
            <w:pPr>
              <w:tabs>
                <w:tab w:val="decimal" w:pos="840"/>
              </w:tabs>
              <w:cnfStyle w:val="000000000000" w:firstRow="0" w:lastRow="0" w:firstColumn="0" w:lastColumn="0" w:oddVBand="0" w:evenVBand="0" w:oddHBand="0" w:evenHBand="0" w:firstRowFirstColumn="0" w:firstRowLastColumn="0" w:lastRowFirstColumn="0" w:lastRowLastColumn="0"/>
              <w:rPr>
                <w:b/>
              </w:rPr>
            </w:pPr>
            <w:r w:rsidRPr="00F73FD5">
              <w:rPr>
                <w:b/>
              </w:rPr>
              <w:t xml:space="preserve"> 10</w:t>
            </w:r>
          </w:p>
        </w:tc>
      </w:tr>
      <w:tr w:rsidR="004E28C0" w:rsidTr="004E28C0">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auto"/>
              <w:left w:val="single" w:sz="4" w:space="0" w:color="auto"/>
              <w:bottom w:val="single" w:sz="4" w:space="0" w:color="auto"/>
              <w:right w:val="single" w:sz="4" w:space="0" w:color="auto"/>
            </w:tcBorders>
          </w:tcPr>
          <w:p w:rsidR="004E28C0" w:rsidRDefault="004E28C0" w:rsidP="00EF4655"/>
        </w:tc>
        <w:tc>
          <w:tcPr>
            <w:tcW w:w="1464"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r w:rsidRPr="0092342A">
              <w:t>IA</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tabs>
                <w:tab w:val="decimal" w:pos="927"/>
              </w:tabs>
              <w:cnfStyle w:val="000000000000" w:firstRow="0" w:lastRow="0" w:firstColumn="0" w:lastColumn="0" w:oddVBand="0" w:evenVBand="0" w:oddHBand="0" w:evenHBand="0" w:firstRowFirstColumn="0" w:firstRowLastColumn="0" w:lastRowFirstColumn="0" w:lastRowLastColumn="0"/>
            </w:pPr>
            <w:r>
              <w:t xml:space="preserve"> </w:t>
            </w:r>
            <w:r w:rsidRPr="0092342A">
              <w:t>61</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r w:rsidRPr="0092342A">
              <w:t>ME</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tabs>
                <w:tab w:val="decimal" w:pos="840"/>
              </w:tabs>
              <w:cnfStyle w:val="000000000000" w:firstRow="0" w:lastRow="0" w:firstColumn="0" w:lastColumn="0" w:oddVBand="0" w:evenVBand="0" w:oddHBand="0" w:evenHBand="0" w:firstRowFirstColumn="0" w:firstRowLastColumn="0" w:lastRowFirstColumn="0" w:lastRowLastColumn="0"/>
            </w:pPr>
            <w:r>
              <w:t xml:space="preserve">  </w:t>
            </w:r>
            <w:r w:rsidRPr="0092342A">
              <w:t>1</w:t>
            </w:r>
          </w:p>
        </w:tc>
      </w:tr>
      <w:tr w:rsidR="004E28C0" w:rsidTr="004E28C0">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auto"/>
              <w:left w:val="single" w:sz="4" w:space="0" w:color="auto"/>
              <w:bottom w:val="single" w:sz="4" w:space="0" w:color="auto"/>
              <w:right w:val="single" w:sz="4" w:space="0" w:color="auto"/>
            </w:tcBorders>
          </w:tcPr>
          <w:p w:rsidR="004E28C0" w:rsidRDefault="004E28C0" w:rsidP="00EF4655"/>
        </w:tc>
        <w:tc>
          <w:tcPr>
            <w:tcW w:w="1464"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r w:rsidRPr="0092342A">
              <w:t>IL</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tabs>
                <w:tab w:val="decimal" w:pos="927"/>
              </w:tabs>
              <w:cnfStyle w:val="000000000000" w:firstRow="0" w:lastRow="0" w:firstColumn="0" w:lastColumn="0" w:oddVBand="0" w:evenVBand="0" w:oddHBand="0" w:evenHBand="0" w:firstRowFirstColumn="0" w:firstRowLastColumn="0" w:lastRowFirstColumn="0" w:lastRowLastColumn="0"/>
            </w:pPr>
            <w:r>
              <w:t xml:space="preserve"> </w:t>
            </w:r>
            <w:r w:rsidRPr="0092342A">
              <w:t>45</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r w:rsidRPr="0092342A">
              <w:t>NJ</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tabs>
                <w:tab w:val="decimal" w:pos="840"/>
              </w:tabs>
              <w:cnfStyle w:val="000000000000" w:firstRow="0" w:lastRow="0" w:firstColumn="0" w:lastColumn="0" w:oddVBand="0" w:evenVBand="0" w:oddHBand="0" w:evenHBand="0" w:firstRowFirstColumn="0" w:firstRowLastColumn="0" w:lastRowFirstColumn="0" w:lastRowLastColumn="0"/>
            </w:pPr>
            <w:r>
              <w:t xml:space="preserve">  </w:t>
            </w:r>
            <w:r w:rsidRPr="0092342A">
              <w:t>1</w:t>
            </w:r>
          </w:p>
        </w:tc>
      </w:tr>
      <w:tr w:rsidR="004E28C0" w:rsidTr="004E28C0">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auto"/>
              <w:left w:val="single" w:sz="4" w:space="0" w:color="auto"/>
              <w:bottom w:val="single" w:sz="4" w:space="0" w:color="auto"/>
              <w:right w:val="single" w:sz="4" w:space="0" w:color="auto"/>
            </w:tcBorders>
          </w:tcPr>
          <w:p w:rsidR="004E28C0" w:rsidRDefault="004E28C0" w:rsidP="00EF4655"/>
        </w:tc>
        <w:tc>
          <w:tcPr>
            <w:tcW w:w="1464"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r w:rsidRPr="0092342A">
              <w:t>IN</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tabs>
                <w:tab w:val="decimal" w:pos="927"/>
              </w:tabs>
              <w:cnfStyle w:val="000000000000" w:firstRow="0" w:lastRow="0" w:firstColumn="0" w:lastColumn="0" w:oddVBand="0" w:evenVBand="0" w:oddHBand="0" w:evenHBand="0" w:firstRowFirstColumn="0" w:firstRowLastColumn="0" w:lastRowFirstColumn="0" w:lastRowLastColumn="0"/>
            </w:pPr>
            <w:r>
              <w:t xml:space="preserve"> </w:t>
            </w:r>
            <w:r w:rsidRPr="0092342A">
              <w:t>66</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r w:rsidRPr="0092342A">
              <w:t>NY</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tabs>
                <w:tab w:val="decimal" w:pos="840"/>
              </w:tabs>
              <w:cnfStyle w:val="000000000000" w:firstRow="0" w:lastRow="0" w:firstColumn="0" w:lastColumn="0" w:oddVBand="0" w:evenVBand="0" w:oddHBand="0" w:evenHBand="0" w:firstRowFirstColumn="0" w:firstRowLastColumn="0" w:lastRowFirstColumn="0" w:lastRowLastColumn="0"/>
            </w:pPr>
            <w:r>
              <w:t xml:space="preserve">  </w:t>
            </w:r>
            <w:r w:rsidRPr="0092342A">
              <w:t>4</w:t>
            </w:r>
          </w:p>
        </w:tc>
      </w:tr>
      <w:tr w:rsidR="004E28C0" w:rsidTr="004E28C0">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auto"/>
              <w:left w:val="single" w:sz="4" w:space="0" w:color="auto"/>
              <w:bottom w:val="single" w:sz="4" w:space="0" w:color="auto"/>
              <w:right w:val="single" w:sz="4" w:space="0" w:color="auto"/>
            </w:tcBorders>
          </w:tcPr>
          <w:p w:rsidR="004E28C0" w:rsidRDefault="004E28C0" w:rsidP="00EF4655"/>
        </w:tc>
        <w:tc>
          <w:tcPr>
            <w:tcW w:w="1464"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r w:rsidRPr="0092342A">
              <w:t>MI</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tabs>
                <w:tab w:val="decimal" w:pos="927"/>
              </w:tabs>
              <w:cnfStyle w:val="000000000000" w:firstRow="0" w:lastRow="0" w:firstColumn="0" w:lastColumn="0" w:oddVBand="0" w:evenVBand="0" w:oddHBand="0" w:evenHBand="0" w:firstRowFirstColumn="0" w:firstRowLastColumn="0" w:lastRowFirstColumn="0" w:lastRowLastColumn="0"/>
            </w:pPr>
            <w:r>
              <w:t xml:space="preserve">  </w:t>
            </w:r>
            <w:r w:rsidRPr="0092342A">
              <w:t>7</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r w:rsidRPr="0092342A">
              <w:t>PA</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tabs>
                <w:tab w:val="decimal" w:pos="840"/>
              </w:tabs>
              <w:cnfStyle w:val="000000000000" w:firstRow="0" w:lastRow="0" w:firstColumn="0" w:lastColumn="0" w:oddVBand="0" w:evenVBand="0" w:oddHBand="0" w:evenHBand="0" w:firstRowFirstColumn="0" w:firstRowLastColumn="0" w:lastRowFirstColumn="0" w:lastRowLastColumn="0"/>
            </w:pPr>
            <w:r>
              <w:t xml:space="preserve">  </w:t>
            </w:r>
            <w:r w:rsidRPr="0092342A">
              <w:t>4</w:t>
            </w:r>
          </w:p>
        </w:tc>
      </w:tr>
      <w:tr w:rsidR="004E28C0" w:rsidTr="004E28C0">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auto"/>
              <w:left w:val="single" w:sz="4" w:space="0" w:color="auto"/>
              <w:bottom w:val="single" w:sz="4" w:space="0" w:color="auto"/>
              <w:right w:val="single" w:sz="4" w:space="0" w:color="auto"/>
            </w:tcBorders>
          </w:tcPr>
          <w:p w:rsidR="004E28C0" w:rsidRDefault="004E28C0" w:rsidP="00EF4655"/>
        </w:tc>
        <w:tc>
          <w:tcPr>
            <w:tcW w:w="1464"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r w:rsidRPr="0092342A">
              <w:t>MN</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tabs>
                <w:tab w:val="decimal" w:pos="927"/>
              </w:tabs>
              <w:cnfStyle w:val="000000000000" w:firstRow="0" w:lastRow="0" w:firstColumn="0" w:lastColumn="0" w:oddVBand="0" w:evenVBand="0" w:oddHBand="0" w:evenHBand="0" w:firstRowFirstColumn="0" w:firstRowLastColumn="0" w:lastRowFirstColumn="0" w:lastRowLastColumn="0"/>
            </w:pPr>
            <w:r>
              <w:t xml:space="preserve"> </w:t>
            </w:r>
            <w:r w:rsidRPr="0092342A">
              <w:t>22</w:t>
            </w:r>
          </w:p>
        </w:tc>
        <w:tc>
          <w:tcPr>
            <w:tcW w:w="1596" w:type="dxa"/>
            <w:tcBorders>
              <w:top w:val="single" w:sz="4" w:space="0" w:color="auto"/>
              <w:left w:val="single" w:sz="4" w:space="0" w:color="auto"/>
              <w:bottom w:val="single" w:sz="4" w:space="0" w:color="auto"/>
              <w:right w:val="single" w:sz="4" w:space="0" w:color="auto"/>
            </w:tcBorders>
          </w:tcPr>
          <w:p w:rsidR="004E28C0" w:rsidRPr="00F73FD5" w:rsidRDefault="004E28C0" w:rsidP="00EF4655">
            <w:pPr>
              <w:cnfStyle w:val="000000000000" w:firstRow="0" w:lastRow="0" w:firstColumn="0" w:lastColumn="0" w:oddVBand="0" w:evenVBand="0" w:oddHBand="0" w:evenHBand="0" w:firstRowFirstColumn="0" w:firstRowLastColumn="0" w:lastRowFirstColumn="0" w:lastRowLastColumn="0"/>
              <w:rPr>
                <w:b/>
              </w:rPr>
            </w:pPr>
            <w:r w:rsidRPr="00F73FD5">
              <w:rPr>
                <w:b/>
              </w:rPr>
              <w:t>West</w:t>
            </w:r>
          </w:p>
        </w:tc>
        <w:tc>
          <w:tcPr>
            <w:tcW w:w="1596" w:type="dxa"/>
            <w:tcBorders>
              <w:top w:val="single" w:sz="4" w:space="0" w:color="auto"/>
              <w:left w:val="single" w:sz="4" w:space="0" w:color="auto"/>
              <w:bottom w:val="single" w:sz="4" w:space="0" w:color="auto"/>
              <w:right w:val="single" w:sz="4" w:space="0" w:color="auto"/>
            </w:tcBorders>
          </w:tcPr>
          <w:p w:rsidR="004E28C0" w:rsidRPr="00F73FD5" w:rsidRDefault="004E28C0" w:rsidP="00EF4655">
            <w:pPr>
              <w:cnfStyle w:val="000000000000" w:firstRow="0" w:lastRow="0" w:firstColumn="0" w:lastColumn="0" w:oddVBand="0" w:evenVBand="0" w:oddHBand="0" w:evenHBand="0" w:firstRowFirstColumn="0" w:firstRowLastColumn="0" w:lastRowFirstColumn="0" w:lastRowLastColumn="0"/>
              <w:rPr>
                <w:b/>
              </w:rPr>
            </w:pPr>
            <w:r w:rsidRPr="00F73FD5">
              <w:rPr>
                <w:b/>
              </w:rPr>
              <w:t>Total</w:t>
            </w:r>
          </w:p>
        </w:tc>
        <w:tc>
          <w:tcPr>
            <w:tcW w:w="1596" w:type="dxa"/>
            <w:tcBorders>
              <w:top w:val="single" w:sz="4" w:space="0" w:color="auto"/>
              <w:left w:val="single" w:sz="4" w:space="0" w:color="auto"/>
              <w:bottom w:val="single" w:sz="4" w:space="0" w:color="auto"/>
              <w:right w:val="single" w:sz="4" w:space="0" w:color="auto"/>
            </w:tcBorders>
          </w:tcPr>
          <w:p w:rsidR="004E28C0" w:rsidRPr="00F73FD5" w:rsidRDefault="004E28C0" w:rsidP="00EF4655">
            <w:pPr>
              <w:tabs>
                <w:tab w:val="decimal" w:pos="840"/>
              </w:tabs>
              <w:cnfStyle w:val="000000000000" w:firstRow="0" w:lastRow="0" w:firstColumn="0" w:lastColumn="0" w:oddVBand="0" w:evenVBand="0" w:oddHBand="0" w:evenHBand="0" w:firstRowFirstColumn="0" w:firstRowLastColumn="0" w:lastRowFirstColumn="0" w:lastRowLastColumn="0"/>
              <w:rPr>
                <w:b/>
              </w:rPr>
            </w:pPr>
            <w:r w:rsidRPr="00F73FD5">
              <w:rPr>
                <w:b/>
              </w:rPr>
              <w:t>264</w:t>
            </w:r>
          </w:p>
        </w:tc>
      </w:tr>
      <w:tr w:rsidR="004E28C0" w:rsidTr="004E28C0">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auto"/>
              <w:left w:val="single" w:sz="4" w:space="0" w:color="auto"/>
              <w:bottom w:val="single" w:sz="4" w:space="0" w:color="auto"/>
              <w:right w:val="single" w:sz="4" w:space="0" w:color="auto"/>
            </w:tcBorders>
          </w:tcPr>
          <w:p w:rsidR="004E28C0" w:rsidRDefault="004E28C0" w:rsidP="00EF4655"/>
        </w:tc>
        <w:tc>
          <w:tcPr>
            <w:tcW w:w="1464"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r w:rsidRPr="0092342A">
              <w:t>NB</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tabs>
                <w:tab w:val="decimal" w:pos="927"/>
              </w:tabs>
              <w:cnfStyle w:val="000000000000" w:firstRow="0" w:lastRow="0" w:firstColumn="0" w:lastColumn="0" w:oddVBand="0" w:evenVBand="0" w:oddHBand="0" w:evenHBand="0" w:firstRowFirstColumn="0" w:firstRowLastColumn="0" w:lastRowFirstColumn="0" w:lastRowLastColumn="0"/>
            </w:pPr>
            <w:r>
              <w:t xml:space="preserve"> </w:t>
            </w:r>
            <w:r w:rsidRPr="0092342A">
              <w:t>30</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r w:rsidRPr="0092342A">
              <w:t>AZ</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tabs>
                <w:tab w:val="decimal" w:pos="861"/>
              </w:tabs>
              <w:cnfStyle w:val="000000000000" w:firstRow="0" w:lastRow="0" w:firstColumn="0" w:lastColumn="0" w:oddVBand="0" w:evenVBand="0" w:oddHBand="0" w:evenHBand="0" w:firstRowFirstColumn="0" w:firstRowLastColumn="0" w:lastRowFirstColumn="0" w:lastRowLastColumn="0"/>
            </w:pPr>
            <w:r>
              <w:t xml:space="preserve"> 57</w:t>
            </w:r>
          </w:p>
        </w:tc>
      </w:tr>
      <w:tr w:rsidR="004E28C0" w:rsidTr="004E28C0">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auto"/>
              <w:left w:val="single" w:sz="4" w:space="0" w:color="auto"/>
              <w:bottom w:val="single" w:sz="4" w:space="0" w:color="auto"/>
              <w:right w:val="single" w:sz="4" w:space="0" w:color="auto"/>
            </w:tcBorders>
          </w:tcPr>
          <w:p w:rsidR="004E28C0" w:rsidRDefault="004E28C0" w:rsidP="00EF4655"/>
        </w:tc>
        <w:tc>
          <w:tcPr>
            <w:tcW w:w="1464"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r w:rsidRPr="0092342A">
              <w:t>ND</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tabs>
                <w:tab w:val="decimal" w:pos="927"/>
              </w:tabs>
              <w:cnfStyle w:val="000000000000" w:firstRow="0" w:lastRow="0" w:firstColumn="0" w:lastColumn="0" w:oddVBand="0" w:evenVBand="0" w:oddHBand="0" w:evenHBand="0" w:firstRowFirstColumn="0" w:firstRowLastColumn="0" w:lastRowFirstColumn="0" w:lastRowLastColumn="0"/>
            </w:pPr>
            <w:r>
              <w:t xml:space="preserve"> </w:t>
            </w:r>
            <w:r w:rsidRPr="0092342A">
              <w:t>10</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r w:rsidRPr="0092342A">
              <w:t>ID</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tabs>
                <w:tab w:val="decimal" w:pos="861"/>
              </w:tabs>
              <w:cnfStyle w:val="000000000000" w:firstRow="0" w:lastRow="0" w:firstColumn="0" w:lastColumn="0" w:oddVBand="0" w:evenVBand="0" w:oddHBand="0" w:evenHBand="0" w:firstRowFirstColumn="0" w:firstRowLastColumn="0" w:lastRowFirstColumn="0" w:lastRowLastColumn="0"/>
            </w:pPr>
            <w:r>
              <w:t xml:space="preserve"> </w:t>
            </w:r>
            <w:r w:rsidRPr="0092342A">
              <w:t>22</w:t>
            </w:r>
          </w:p>
        </w:tc>
      </w:tr>
      <w:tr w:rsidR="004E28C0" w:rsidTr="004E28C0">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auto"/>
              <w:left w:val="single" w:sz="4" w:space="0" w:color="auto"/>
              <w:bottom w:val="single" w:sz="4" w:space="0" w:color="auto"/>
              <w:right w:val="single" w:sz="4" w:space="0" w:color="auto"/>
            </w:tcBorders>
          </w:tcPr>
          <w:p w:rsidR="004E28C0" w:rsidRDefault="004E28C0" w:rsidP="00EF4655"/>
        </w:tc>
        <w:tc>
          <w:tcPr>
            <w:tcW w:w="1464"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r w:rsidRPr="0092342A">
              <w:t>OH</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tabs>
                <w:tab w:val="decimal" w:pos="927"/>
              </w:tabs>
              <w:cnfStyle w:val="000000000000" w:firstRow="0" w:lastRow="0" w:firstColumn="0" w:lastColumn="0" w:oddVBand="0" w:evenVBand="0" w:oddHBand="0" w:evenHBand="0" w:firstRowFirstColumn="0" w:firstRowLastColumn="0" w:lastRowFirstColumn="0" w:lastRowLastColumn="0"/>
            </w:pPr>
            <w:r>
              <w:t xml:space="preserve"> </w:t>
            </w:r>
            <w:r w:rsidRPr="0092342A">
              <w:t>28</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r w:rsidRPr="0092342A">
              <w:t>MT</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tabs>
                <w:tab w:val="decimal" w:pos="861"/>
              </w:tabs>
              <w:cnfStyle w:val="000000000000" w:firstRow="0" w:lastRow="0" w:firstColumn="0" w:lastColumn="0" w:oddVBand="0" w:evenVBand="0" w:oddHBand="0" w:evenHBand="0" w:firstRowFirstColumn="0" w:firstRowLastColumn="0" w:lastRowFirstColumn="0" w:lastRowLastColumn="0"/>
            </w:pPr>
            <w:r>
              <w:t xml:space="preserve"> </w:t>
            </w:r>
            <w:r w:rsidRPr="0092342A">
              <w:t>45</w:t>
            </w:r>
          </w:p>
        </w:tc>
      </w:tr>
      <w:tr w:rsidR="004E28C0" w:rsidTr="004E28C0">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auto"/>
              <w:left w:val="single" w:sz="4" w:space="0" w:color="auto"/>
              <w:bottom w:val="single" w:sz="4" w:space="0" w:color="auto"/>
              <w:right w:val="single" w:sz="4" w:space="0" w:color="auto"/>
            </w:tcBorders>
          </w:tcPr>
          <w:p w:rsidR="004E28C0" w:rsidRDefault="004E28C0" w:rsidP="00EF4655"/>
        </w:tc>
        <w:tc>
          <w:tcPr>
            <w:tcW w:w="1464"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r w:rsidRPr="0092342A">
              <w:t>SD</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tabs>
                <w:tab w:val="decimal" w:pos="927"/>
              </w:tabs>
              <w:cnfStyle w:val="000000000000" w:firstRow="0" w:lastRow="0" w:firstColumn="0" w:lastColumn="0" w:oddVBand="0" w:evenVBand="0" w:oddHBand="0" w:evenHBand="0" w:firstRowFirstColumn="0" w:firstRowLastColumn="0" w:lastRowFirstColumn="0" w:lastRowLastColumn="0"/>
            </w:pPr>
            <w:r>
              <w:t xml:space="preserve"> </w:t>
            </w:r>
            <w:r w:rsidRPr="0092342A">
              <w:t>12</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r w:rsidRPr="0092342A">
              <w:t>NV</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tabs>
                <w:tab w:val="decimal" w:pos="861"/>
              </w:tabs>
              <w:cnfStyle w:val="000000000000" w:firstRow="0" w:lastRow="0" w:firstColumn="0" w:lastColumn="0" w:oddVBand="0" w:evenVBand="0" w:oddHBand="0" w:evenHBand="0" w:firstRowFirstColumn="0" w:firstRowLastColumn="0" w:lastRowFirstColumn="0" w:lastRowLastColumn="0"/>
            </w:pPr>
            <w:r>
              <w:t xml:space="preserve"> </w:t>
            </w:r>
            <w:r w:rsidRPr="0092342A">
              <w:t>24</w:t>
            </w:r>
          </w:p>
        </w:tc>
      </w:tr>
      <w:tr w:rsidR="004E28C0" w:rsidTr="004E28C0">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auto"/>
              <w:left w:val="single" w:sz="4" w:space="0" w:color="auto"/>
              <w:bottom w:val="single" w:sz="4" w:space="0" w:color="auto"/>
              <w:right w:val="single" w:sz="4" w:space="0" w:color="auto"/>
            </w:tcBorders>
          </w:tcPr>
          <w:p w:rsidR="004E28C0" w:rsidRDefault="004E28C0" w:rsidP="00EF4655"/>
        </w:tc>
        <w:tc>
          <w:tcPr>
            <w:tcW w:w="1464"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r w:rsidRPr="0092342A">
              <w:t>WI</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tabs>
                <w:tab w:val="decimal" w:pos="927"/>
              </w:tabs>
              <w:cnfStyle w:val="000000000000" w:firstRow="0" w:lastRow="0" w:firstColumn="0" w:lastColumn="0" w:oddVBand="0" w:evenVBand="0" w:oddHBand="0" w:evenHBand="0" w:firstRowFirstColumn="0" w:firstRowLastColumn="0" w:lastRowFirstColumn="0" w:lastRowLastColumn="0"/>
            </w:pPr>
            <w:r>
              <w:t xml:space="preserve"> </w:t>
            </w:r>
            <w:r w:rsidRPr="0092342A">
              <w:t>17</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r w:rsidRPr="0092342A">
              <w:t>OR</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tabs>
                <w:tab w:val="decimal" w:pos="861"/>
              </w:tabs>
              <w:cnfStyle w:val="000000000000" w:firstRow="0" w:lastRow="0" w:firstColumn="0" w:lastColumn="0" w:oddVBand="0" w:evenVBand="0" w:oddHBand="0" w:evenHBand="0" w:firstRowFirstColumn="0" w:firstRowLastColumn="0" w:lastRowFirstColumn="0" w:lastRowLastColumn="0"/>
            </w:pPr>
            <w:r>
              <w:t xml:space="preserve">  </w:t>
            </w:r>
            <w:r w:rsidRPr="0092342A">
              <w:t>5</w:t>
            </w:r>
          </w:p>
        </w:tc>
      </w:tr>
      <w:tr w:rsidR="004E28C0" w:rsidTr="00EF4655">
        <w:trPr>
          <w:trHeight w:val="314"/>
        </w:trPr>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auto"/>
              <w:left w:val="single" w:sz="4" w:space="0" w:color="auto"/>
              <w:bottom w:val="single" w:sz="4" w:space="0" w:color="auto"/>
              <w:right w:val="single" w:sz="4" w:space="0" w:color="auto"/>
            </w:tcBorders>
          </w:tcPr>
          <w:p w:rsidR="004E28C0" w:rsidRPr="00A079A3" w:rsidRDefault="004E28C0" w:rsidP="00EF4655">
            <w:r w:rsidRPr="00A079A3">
              <w:t>Border South</w:t>
            </w:r>
          </w:p>
        </w:tc>
        <w:tc>
          <w:tcPr>
            <w:tcW w:w="1464" w:type="dxa"/>
            <w:tcBorders>
              <w:top w:val="single" w:sz="4" w:space="0" w:color="auto"/>
              <w:left w:val="single" w:sz="4" w:space="0" w:color="auto"/>
              <w:bottom w:val="single" w:sz="4" w:space="0" w:color="auto"/>
              <w:right w:val="single" w:sz="4" w:space="0" w:color="auto"/>
            </w:tcBorders>
          </w:tcPr>
          <w:p w:rsidR="004E28C0" w:rsidRPr="00F73FD5" w:rsidRDefault="004E28C0" w:rsidP="00EF4655">
            <w:pPr>
              <w:cnfStyle w:val="000000000000" w:firstRow="0" w:lastRow="0" w:firstColumn="0" w:lastColumn="0" w:oddVBand="0" w:evenVBand="0" w:oddHBand="0" w:evenHBand="0" w:firstRowFirstColumn="0" w:firstRowLastColumn="0" w:lastRowFirstColumn="0" w:lastRowLastColumn="0"/>
              <w:rPr>
                <w:b/>
              </w:rPr>
            </w:pPr>
            <w:r w:rsidRPr="00F73FD5">
              <w:rPr>
                <w:b/>
              </w:rPr>
              <w:t>Total</w:t>
            </w:r>
          </w:p>
        </w:tc>
        <w:tc>
          <w:tcPr>
            <w:tcW w:w="1596" w:type="dxa"/>
            <w:tcBorders>
              <w:top w:val="single" w:sz="4" w:space="0" w:color="auto"/>
              <w:left w:val="single" w:sz="4" w:space="0" w:color="auto"/>
              <w:bottom w:val="single" w:sz="4" w:space="0" w:color="auto"/>
              <w:right w:val="single" w:sz="4" w:space="0" w:color="auto"/>
            </w:tcBorders>
          </w:tcPr>
          <w:p w:rsidR="004E28C0" w:rsidRPr="00F73FD5" w:rsidRDefault="004E28C0" w:rsidP="00EF4655">
            <w:pPr>
              <w:tabs>
                <w:tab w:val="decimal" w:pos="927"/>
              </w:tabs>
              <w:cnfStyle w:val="000000000000" w:firstRow="0" w:lastRow="0" w:firstColumn="0" w:lastColumn="0" w:oddVBand="0" w:evenVBand="0" w:oddHBand="0" w:evenHBand="0" w:firstRowFirstColumn="0" w:firstRowLastColumn="0" w:lastRowFirstColumn="0" w:lastRowLastColumn="0"/>
              <w:rPr>
                <w:b/>
              </w:rPr>
            </w:pPr>
            <w:r w:rsidRPr="00F73FD5">
              <w:rPr>
                <w:b/>
              </w:rPr>
              <w:t xml:space="preserve">  5</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r w:rsidRPr="0092342A">
              <w:t>UT</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tabs>
                <w:tab w:val="decimal" w:pos="861"/>
              </w:tabs>
              <w:cnfStyle w:val="000000000000" w:firstRow="0" w:lastRow="0" w:firstColumn="0" w:lastColumn="0" w:oddVBand="0" w:evenVBand="0" w:oddHBand="0" w:evenHBand="0" w:firstRowFirstColumn="0" w:firstRowLastColumn="0" w:lastRowFirstColumn="0" w:lastRowLastColumn="0"/>
            </w:pPr>
            <w:r>
              <w:t xml:space="preserve"> </w:t>
            </w:r>
            <w:r w:rsidRPr="0092342A">
              <w:t>15</w:t>
            </w:r>
          </w:p>
        </w:tc>
      </w:tr>
      <w:tr w:rsidR="004E28C0" w:rsidTr="00EF4655">
        <w:trPr>
          <w:trHeight w:val="260"/>
        </w:trPr>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auto"/>
              <w:left w:val="single" w:sz="4" w:space="0" w:color="auto"/>
              <w:bottom w:val="single" w:sz="4" w:space="0" w:color="auto"/>
              <w:right w:val="single" w:sz="4" w:space="0" w:color="auto"/>
            </w:tcBorders>
          </w:tcPr>
          <w:p w:rsidR="004E28C0" w:rsidRPr="0092342A" w:rsidRDefault="004E28C0" w:rsidP="00EF4655"/>
        </w:tc>
        <w:tc>
          <w:tcPr>
            <w:tcW w:w="1464"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r w:rsidRPr="0092342A">
              <w:t>AK</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tabs>
                <w:tab w:val="decimal" w:pos="927"/>
              </w:tabs>
              <w:cnfStyle w:val="000000000000" w:firstRow="0" w:lastRow="0" w:firstColumn="0" w:lastColumn="0" w:oddVBand="0" w:evenVBand="0" w:oddHBand="0" w:evenHBand="0" w:firstRowFirstColumn="0" w:firstRowLastColumn="0" w:lastRowFirstColumn="0" w:lastRowLastColumn="0"/>
            </w:pPr>
            <w:r>
              <w:t xml:space="preserve">  </w:t>
            </w:r>
            <w:r w:rsidRPr="0092342A">
              <w:t>3</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r w:rsidRPr="0092342A">
              <w:t>WA</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tabs>
                <w:tab w:val="decimal" w:pos="861"/>
              </w:tabs>
              <w:cnfStyle w:val="000000000000" w:firstRow="0" w:lastRow="0" w:firstColumn="0" w:lastColumn="0" w:oddVBand="0" w:evenVBand="0" w:oddHBand="0" w:evenHBand="0" w:firstRowFirstColumn="0" w:firstRowLastColumn="0" w:lastRowFirstColumn="0" w:lastRowLastColumn="0"/>
            </w:pPr>
            <w:r>
              <w:t xml:space="preserve"> </w:t>
            </w:r>
            <w:r w:rsidRPr="0092342A">
              <w:t>40</w:t>
            </w:r>
          </w:p>
        </w:tc>
      </w:tr>
      <w:tr w:rsidR="004E28C0" w:rsidTr="00EF4655">
        <w:trPr>
          <w:trHeight w:val="251"/>
        </w:trPr>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auto"/>
              <w:left w:val="single" w:sz="4" w:space="0" w:color="auto"/>
              <w:bottom w:val="single" w:sz="4" w:space="0" w:color="auto"/>
              <w:right w:val="single" w:sz="4" w:space="0" w:color="auto"/>
            </w:tcBorders>
          </w:tcPr>
          <w:p w:rsidR="004E28C0" w:rsidRPr="0092342A" w:rsidRDefault="004E28C0" w:rsidP="00EF4655"/>
        </w:tc>
        <w:tc>
          <w:tcPr>
            <w:tcW w:w="1464"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r w:rsidRPr="0092342A">
              <w:t>DE</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tabs>
                <w:tab w:val="decimal" w:pos="927"/>
              </w:tabs>
              <w:cnfStyle w:val="000000000000" w:firstRow="0" w:lastRow="0" w:firstColumn="0" w:lastColumn="0" w:oddVBand="0" w:evenVBand="0" w:oddHBand="0" w:evenHBand="0" w:firstRowFirstColumn="0" w:firstRowLastColumn="0" w:lastRowFirstColumn="0" w:lastRowLastColumn="0"/>
            </w:pPr>
            <w:r>
              <w:t xml:space="preserve">  </w:t>
            </w:r>
            <w:r w:rsidRPr="0092342A">
              <w:t>2</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r w:rsidRPr="0092342A">
              <w:t>WY</w:t>
            </w:r>
          </w:p>
        </w:tc>
        <w:tc>
          <w:tcPr>
            <w:tcW w:w="1596"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tabs>
                <w:tab w:val="decimal" w:pos="861"/>
              </w:tabs>
              <w:cnfStyle w:val="000000000000" w:firstRow="0" w:lastRow="0" w:firstColumn="0" w:lastColumn="0" w:oddVBand="0" w:evenVBand="0" w:oddHBand="0" w:evenHBand="0" w:firstRowFirstColumn="0" w:firstRowLastColumn="0" w:lastRowFirstColumn="0" w:lastRowLastColumn="0"/>
            </w:pPr>
            <w:r>
              <w:t xml:space="preserve"> </w:t>
            </w:r>
            <w:r w:rsidRPr="0092342A">
              <w:t>56</w:t>
            </w:r>
          </w:p>
        </w:tc>
      </w:tr>
      <w:tr w:rsidR="004E28C0" w:rsidTr="00EF4655">
        <w:trPr>
          <w:trHeight w:val="233"/>
        </w:trPr>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auto"/>
              <w:left w:val="single" w:sz="4" w:space="0" w:color="auto"/>
              <w:bottom w:val="single" w:sz="4" w:space="0" w:color="auto"/>
              <w:right w:val="single" w:sz="4" w:space="0" w:color="auto"/>
            </w:tcBorders>
          </w:tcPr>
          <w:p w:rsidR="004E28C0" w:rsidRPr="0092342A" w:rsidRDefault="004E28C0" w:rsidP="00EF4655"/>
        </w:tc>
        <w:tc>
          <w:tcPr>
            <w:tcW w:w="1464" w:type="dxa"/>
            <w:tcBorders>
              <w:top w:val="single" w:sz="4" w:space="0" w:color="auto"/>
              <w:left w:val="single" w:sz="4" w:space="0" w:color="auto"/>
              <w:bottom w:val="single" w:sz="4" w:space="0" w:color="auto"/>
              <w:right w:val="single" w:sz="4" w:space="0" w:color="auto"/>
            </w:tcBorders>
          </w:tcPr>
          <w:p w:rsidR="004E28C0" w:rsidRPr="0092342A" w:rsidRDefault="004E28C0" w:rsidP="00EF4655">
            <w:pPr>
              <w:cnfStyle w:val="000000000000" w:firstRow="0" w:lastRow="0" w:firstColumn="0" w:lastColumn="0" w:oddVBand="0" w:evenVBand="0" w:oddHBand="0" w:evenHBand="0" w:firstRowFirstColumn="0" w:firstRowLastColumn="0" w:lastRowFirstColumn="0" w:lastRowLastColumn="0"/>
            </w:pPr>
          </w:p>
        </w:tc>
        <w:tc>
          <w:tcPr>
            <w:tcW w:w="1596" w:type="dxa"/>
            <w:tcBorders>
              <w:top w:val="single" w:sz="4" w:space="0" w:color="auto"/>
              <w:left w:val="single" w:sz="4" w:space="0" w:color="auto"/>
              <w:bottom w:val="single" w:sz="4" w:space="0" w:color="auto"/>
              <w:right w:val="single" w:sz="4" w:space="0" w:color="auto"/>
            </w:tcBorders>
          </w:tcPr>
          <w:p w:rsidR="004E28C0" w:rsidRDefault="004E28C0" w:rsidP="00EF4655">
            <w:pPr>
              <w:tabs>
                <w:tab w:val="decimal" w:pos="927"/>
              </w:tabs>
              <w:cnfStyle w:val="000000000000" w:firstRow="0" w:lastRow="0" w:firstColumn="0" w:lastColumn="0" w:oddVBand="0" w:evenVBand="0" w:oddHBand="0" w:evenHBand="0" w:firstRowFirstColumn="0" w:firstRowLastColumn="0" w:lastRowFirstColumn="0" w:lastRowLastColumn="0"/>
            </w:pPr>
          </w:p>
        </w:tc>
        <w:tc>
          <w:tcPr>
            <w:tcW w:w="1596" w:type="dxa"/>
            <w:tcBorders>
              <w:top w:val="single" w:sz="4" w:space="0" w:color="auto"/>
              <w:left w:val="single" w:sz="4" w:space="0" w:color="auto"/>
              <w:bottom w:val="single" w:sz="4" w:space="0" w:color="auto"/>
              <w:right w:val="single" w:sz="4" w:space="0" w:color="auto"/>
            </w:tcBorders>
          </w:tcPr>
          <w:p w:rsidR="004E28C0" w:rsidRPr="00F73FD5" w:rsidRDefault="004E28C0" w:rsidP="00EF4655">
            <w:pPr>
              <w:cnfStyle w:val="000000000000" w:firstRow="0" w:lastRow="0" w:firstColumn="0" w:lastColumn="0" w:oddVBand="0" w:evenVBand="0" w:oddHBand="0" w:evenHBand="0" w:firstRowFirstColumn="0" w:firstRowLastColumn="0" w:lastRowFirstColumn="0" w:lastRowLastColumn="0"/>
              <w:rPr>
                <w:b/>
              </w:rPr>
            </w:pPr>
            <w:r w:rsidRPr="00F73FD5">
              <w:rPr>
                <w:b/>
              </w:rPr>
              <w:t>Other</w:t>
            </w:r>
          </w:p>
        </w:tc>
        <w:tc>
          <w:tcPr>
            <w:tcW w:w="1596" w:type="dxa"/>
            <w:tcBorders>
              <w:top w:val="single" w:sz="4" w:space="0" w:color="auto"/>
              <w:left w:val="single" w:sz="4" w:space="0" w:color="auto"/>
              <w:bottom w:val="single" w:sz="4" w:space="0" w:color="auto"/>
              <w:right w:val="single" w:sz="4" w:space="0" w:color="auto"/>
            </w:tcBorders>
          </w:tcPr>
          <w:p w:rsidR="004E28C0" w:rsidRPr="00F73FD5" w:rsidRDefault="004E28C0" w:rsidP="00EF4655">
            <w:pPr>
              <w:cnfStyle w:val="000000000000" w:firstRow="0" w:lastRow="0" w:firstColumn="0" w:lastColumn="0" w:oddVBand="0" w:evenVBand="0" w:oddHBand="0" w:evenHBand="0" w:firstRowFirstColumn="0" w:firstRowLastColumn="0" w:lastRowFirstColumn="0" w:lastRowLastColumn="0"/>
              <w:rPr>
                <w:b/>
              </w:rPr>
            </w:pPr>
            <w:r w:rsidRPr="00F73FD5">
              <w:rPr>
                <w:b/>
              </w:rPr>
              <w:t>HI</w:t>
            </w:r>
          </w:p>
        </w:tc>
        <w:tc>
          <w:tcPr>
            <w:tcW w:w="1596" w:type="dxa"/>
            <w:tcBorders>
              <w:top w:val="single" w:sz="4" w:space="0" w:color="auto"/>
              <w:left w:val="single" w:sz="4" w:space="0" w:color="auto"/>
              <w:bottom w:val="single" w:sz="4" w:space="0" w:color="auto"/>
              <w:right w:val="single" w:sz="4" w:space="0" w:color="auto"/>
            </w:tcBorders>
          </w:tcPr>
          <w:p w:rsidR="004E28C0" w:rsidRPr="00F73FD5" w:rsidRDefault="004E28C0" w:rsidP="00EF4655">
            <w:pPr>
              <w:tabs>
                <w:tab w:val="decimal" w:pos="861"/>
              </w:tabs>
              <w:cnfStyle w:val="000000000000" w:firstRow="0" w:lastRow="0" w:firstColumn="0" w:lastColumn="0" w:oddVBand="0" w:evenVBand="0" w:oddHBand="0" w:evenHBand="0" w:firstRowFirstColumn="0" w:firstRowLastColumn="0" w:lastRowFirstColumn="0" w:lastRowLastColumn="0"/>
              <w:rPr>
                <w:b/>
              </w:rPr>
            </w:pPr>
            <w:r w:rsidRPr="00F73FD5">
              <w:rPr>
                <w:b/>
              </w:rPr>
              <w:t>1</w:t>
            </w:r>
          </w:p>
        </w:tc>
      </w:tr>
    </w:tbl>
    <w:p w:rsidR="00EF4655" w:rsidRDefault="00EF4655" w:rsidP="00EF4655"/>
    <w:p w:rsidR="00E41964" w:rsidRDefault="004E28C0" w:rsidP="00E41964">
      <w:pPr>
        <w:spacing w:line="480" w:lineRule="auto"/>
      </w:pPr>
      <w:r>
        <w:t>Region classified according to Pane</w:t>
      </w:r>
      <w:r w:rsidR="00EF4655">
        <w:t>l Study of Income Dynamics 1985</w:t>
      </w:r>
    </w:p>
    <w:p w:rsidR="00E41964" w:rsidRDefault="00E41964" w:rsidP="00E41964">
      <w:pPr>
        <w:spacing w:line="480" w:lineRule="auto"/>
      </w:pPr>
    </w:p>
    <w:p w:rsidR="00381B15" w:rsidRPr="00E41964" w:rsidRDefault="00381B15" w:rsidP="004452D9">
      <w:pPr>
        <w:keepNext/>
        <w:spacing w:line="480" w:lineRule="auto"/>
      </w:pPr>
      <w:r w:rsidRPr="00381B15">
        <w:rPr>
          <w:u w:val="single"/>
        </w:rPr>
        <w:t>What an Outrage: Georgia in 1868</w:t>
      </w:r>
    </w:p>
    <w:p w:rsidR="004E28C0" w:rsidRDefault="00440491">
      <w:pPr>
        <w:spacing w:line="480" w:lineRule="auto"/>
      </w:pPr>
      <w:r>
        <w:tab/>
        <w:t>So let u</w:t>
      </w:r>
      <w:r w:rsidR="00CE56A6">
        <w:t xml:space="preserve">s get close to some data gathered by the Freedmen’s Bureau in Georgia in 1868.  </w:t>
      </w:r>
      <w:r>
        <w:t>I found t</w:t>
      </w:r>
      <w:r w:rsidR="00CE56A6">
        <w:t>hese data in the correspondence of Radical Republican Governor Bullock (at the GA State Ar</w:t>
      </w:r>
      <w:r w:rsidR="00EF0E97">
        <w:t xml:space="preserve">chives, in Morrow, GA).  Perhaps we might consider this </w:t>
      </w:r>
      <w:r w:rsidR="00790E5F">
        <w:t xml:space="preserve">a </w:t>
      </w:r>
      <w:r w:rsidR="00CE56A6">
        <w:t xml:space="preserve">convenience sample </w:t>
      </w:r>
      <w:r w:rsidR="001B42F4">
        <w:t xml:space="preserve">drawn </w:t>
      </w:r>
      <w:r w:rsidR="00381B15">
        <w:t xml:space="preserve">from </w:t>
      </w:r>
      <w:r w:rsidR="00CE56A6">
        <w:t xml:space="preserve">the 1865-1869 </w:t>
      </w:r>
      <w:r w:rsidR="00EF0E97">
        <w:t xml:space="preserve">Bureau </w:t>
      </w:r>
      <w:r w:rsidR="00CE56A6">
        <w:t xml:space="preserve">reports, but 1868 </w:t>
      </w:r>
      <w:r w:rsidR="00EF0E97">
        <w:t>wa</w:t>
      </w:r>
      <w:r w:rsidR="00CE56A6">
        <w:t>s a particularly good year</w:t>
      </w:r>
      <w:r w:rsidR="00EF0E97">
        <w:t xml:space="preserve">, and it </w:t>
      </w:r>
      <w:r w:rsidR="001B42F4">
        <w:t>wa</w:t>
      </w:r>
      <w:r w:rsidR="00EF0E97">
        <w:t xml:space="preserve">s no accident that </w:t>
      </w:r>
      <w:r w:rsidR="00EF0E97">
        <w:lastRenderedPageBreak/>
        <w:t>this report found its way into the Governor’s papers</w:t>
      </w:r>
      <w:r w:rsidR="00CE56A6">
        <w:t xml:space="preserve">.  This </w:t>
      </w:r>
      <w:r w:rsidR="00EF0E97">
        <w:t>wa</w:t>
      </w:r>
      <w:r w:rsidR="00CE56A6">
        <w:t xml:space="preserve">s the year when the Radical Republicans took charge of the Georgia State government.  It </w:t>
      </w:r>
      <w:r w:rsidR="00EF0E97">
        <w:t>wa</w:t>
      </w:r>
      <w:r w:rsidR="00CE56A6">
        <w:t>s also the year that the KKK</w:t>
      </w:r>
      <w:r w:rsidR="00EF631F">
        <w:t>, which</w:t>
      </w:r>
      <w:r w:rsidR="00CE56A6">
        <w:t xml:space="preserve"> </w:t>
      </w:r>
      <w:r w:rsidR="00C65D4F">
        <w:t xml:space="preserve">had been </w:t>
      </w:r>
      <w:r w:rsidR="00CE56A6">
        <w:t xml:space="preserve">organized in the Border States </w:t>
      </w:r>
      <w:r w:rsidR="00C65D4F">
        <w:t xml:space="preserve">in 1866, </w:t>
      </w:r>
      <w:r w:rsidR="00CE56A6">
        <w:t>insinuated itself into Georgia.</w:t>
      </w:r>
    </w:p>
    <w:p w:rsidR="00F977A5" w:rsidRPr="00CE56A6" w:rsidRDefault="00CE56A6" w:rsidP="00844638">
      <w:pPr>
        <w:keepNext/>
        <w:jc w:val="center"/>
        <w:rPr>
          <w:b/>
        </w:rPr>
      </w:pPr>
      <w:r w:rsidRPr="00CE56A6">
        <w:rPr>
          <w:b/>
        </w:rPr>
        <w:t>Table 10</w:t>
      </w:r>
    </w:p>
    <w:p w:rsidR="00F977A5" w:rsidRPr="00CE56A6" w:rsidRDefault="00F977A5" w:rsidP="00844638">
      <w:pPr>
        <w:keepNext/>
        <w:jc w:val="center"/>
        <w:rPr>
          <w:b/>
        </w:rPr>
      </w:pPr>
      <w:r w:rsidRPr="00CE56A6">
        <w:rPr>
          <w:b/>
        </w:rPr>
        <w:t>Crimes Imputed from Outrages Reported by Freedman's Bureau in Georgia,</w:t>
      </w:r>
    </w:p>
    <w:p w:rsidR="00F977A5" w:rsidRPr="00CE56A6" w:rsidRDefault="00F977A5" w:rsidP="00844638">
      <w:pPr>
        <w:keepNext/>
        <w:jc w:val="center"/>
        <w:rPr>
          <w:b/>
        </w:rPr>
      </w:pPr>
      <w:r w:rsidRPr="00CE56A6">
        <w:rPr>
          <w:b/>
        </w:rPr>
        <w:t>January-November 15, 1868 (N=355)</w:t>
      </w:r>
    </w:p>
    <w:p w:rsidR="00F977A5" w:rsidRDefault="00F977A5" w:rsidP="00844638">
      <w:pPr>
        <w:keepNext/>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4"/>
        <w:gridCol w:w="1482"/>
        <w:gridCol w:w="969"/>
      </w:tblGrid>
      <w:tr w:rsidR="00F977A5" w:rsidTr="004E28C0">
        <w:trPr>
          <w:jc w:val="center"/>
        </w:trPr>
        <w:tc>
          <w:tcPr>
            <w:tcW w:w="1644" w:type="dxa"/>
            <w:shd w:val="clear" w:color="auto" w:fill="auto"/>
          </w:tcPr>
          <w:p w:rsidR="00F977A5" w:rsidRPr="00D15174" w:rsidRDefault="001B42F4" w:rsidP="004E28C0">
            <w:pPr>
              <w:jc w:val="center"/>
              <w:rPr>
                <w:b/>
              </w:rPr>
            </w:pPr>
            <w:r w:rsidRPr="00D15174">
              <w:rPr>
                <w:b/>
              </w:rPr>
              <w:t>C</w:t>
            </w:r>
            <w:r w:rsidR="00F977A5" w:rsidRPr="00D15174">
              <w:rPr>
                <w:b/>
              </w:rPr>
              <w:t>rime</w:t>
            </w:r>
          </w:p>
        </w:tc>
        <w:tc>
          <w:tcPr>
            <w:tcW w:w="1482" w:type="dxa"/>
            <w:shd w:val="clear" w:color="auto" w:fill="auto"/>
          </w:tcPr>
          <w:p w:rsidR="00F977A5" w:rsidRPr="00D15174" w:rsidRDefault="00440491" w:rsidP="004E28C0">
            <w:pPr>
              <w:jc w:val="center"/>
              <w:rPr>
                <w:b/>
              </w:rPr>
            </w:pPr>
            <w:r w:rsidRPr="00D15174">
              <w:rPr>
                <w:b/>
              </w:rPr>
              <w:t>P</w:t>
            </w:r>
            <w:r w:rsidR="00F977A5" w:rsidRPr="00D15174">
              <w:rPr>
                <w:b/>
              </w:rPr>
              <w:t>ercent</w:t>
            </w:r>
          </w:p>
        </w:tc>
        <w:tc>
          <w:tcPr>
            <w:tcW w:w="969" w:type="dxa"/>
            <w:shd w:val="clear" w:color="auto" w:fill="auto"/>
          </w:tcPr>
          <w:p w:rsidR="00F977A5" w:rsidRPr="00D15174" w:rsidRDefault="00F977A5" w:rsidP="004E28C0">
            <w:pPr>
              <w:jc w:val="center"/>
              <w:rPr>
                <w:b/>
              </w:rPr>
            </w:pPr>
            <w:r w:rsidRPr="00D15174">
              <w:rPr>
                <w:b/>
              </w:rPr>
              <w:t>N</w:t>
            </w:r>
          </w:p>
        </w:tc>
      </w:tr>
      <w:tr w:rsidR="00F977A5" w:rsidTr="004E28C0">
        <w:trPr>
          <w:jc w:val="center"/>
        </w:trPr>
        <w:tc>
          <w:tcPr>
            <w:tcW w:w="1644" w:type="dxa"/>
            <w:shd w:val="clear" w:color="auto" w:fill="auto"/>
          </w:tcPr>
          <w:p w:rsidR="00F977A5" w:rsidRDefault="00F977A5" w:rsidP="004E28C0">
            <w:r>
              <w:t>Murder</w:t>
            </w:r>
          </w:p>
        </w:tc>
        <w:tc>
          <w:tcPr>
            <w:tcW w:w="1482" w:type="dxa"/>
            <w:shd w:val="clear" w:color="auto" w:fill="auto"/>
          </w:tcPr>
          <w:p w:rsidR="00F977A5" w:rsidRDefault="00F977A5" w:rsidP="004E28C0">
            <w:pPr>
              <w:jc w:val="right"/>
            </w:pPr>
            <w:r>
              <w:t>28%</w:t>
            </w:r>
          </w:p>
        </w:tc>
        <w:tc>
          <w:tcPr>
            <w:tcW w:w="969" w:type="dxa"/>
            <w:shd w:val="clear" w:color="auto" w:fill="auto"/>
          </w:tcPr>
          <w:p w:rsidR="00F977A5" w:rsidRDefault="00F977A5" w:rsidP="004E28C0">
            <w:pPr>
              <w:jc w:val="right"/>
            </w:pPr>
            <w:r>
              <w:t>101</w:t>
            </w:r>
          </w:p>
        </w:tc>
      </w:tr>
      <w:tr w:rsidR="00F977A5" w:rsidTr="004E28C0">
        <w:trPr>
          <w:jc w:val="center"/>
        </w:trPr>
        <w:tc>
          <w:tcPr>
            <w:tcW w:w="1644" w:type="dxa"/>
            <w:shd w:val="clear" w:color="auto" w:fill="auto"/>
          </w:tcPr>
          <w:p w:rsidR="00F977A5" w:rsidRDefault="00F977A5" w:rsidP="004E28C0">
            <w:r>
              <w:t>Beating</w:t>
            </w:r>
          </w:p>
        </w:tc>
        <w:tc>
          <w:tcPr>
            <w:tcW w:w="1482" w:type="dxa"/>
            <w:shd w:val="clear" w:color="auto" w:fill="auto"/>
          </w:tcPr>
          <w:p w:rsidR="00F977A5" w:rsidRDefault="00F977A5" w:rsidP="004E28C0">
            <w:pPr>
              <w:jc w:val="right"/>
            </w:pPr>
            <w:r>
              <w:t>26%</w:t>
            </w:r>
          </w:p>
        </w:tc>
        <w:tc>
          <w:tcPr>
            <w:tcW w:w="969" w:type="dxa"/>
            <w:shd w:val="clear" w:color="auto" w:fill="auto"/>
          </w:tcPr>
          <w:p w:rsidR="00F977A5" w:rsidRDefault="00F977A5" w:rsidP="004E28C0">
            <w:pPr>
              <w:jc w:val="right"/>
            </w:pPr>
            <w:r>
              <w:t>91</w:t>
            </w:r>
          </w:p>
        </w:tc>
      </w:tr>
      <w:tr w:rsidR="00F977A5" w:rsidTr="004E28C0">
        <w:trPr>
          <w:jc w:val="center"/>
        </w:trPr>
        <w:tc>
          <w:tcPr>
            <w:tcW w:w="1644" w:type="dxa"/>
            <w:shd w:val="clear" w:color="auto" w:fill="auto"/>
          </w:tcPr>
          <w:p w:rsidR="00F977A5" w:rsidRDefault="00F977A5" w:rsidP="004E28C0">
            <w:r>
              <w:t>Shooting</w:t>
            </w:r>
          </w:p>
        </w:tc>
        <w:tc>
          <w:tcPr>
            <w:tcW w:w="1482" w:type="dxa"/>
            <w:shd w:val="clear" w:color="auto" w:fill="auto"/>
          </w:tcPr>
          <w:p w:rsidR="00F977A5" w:rsidRDefault="00F977A5" w:rsidP="004E28C0">
            <w:pPr>
              <w:jc w:val="right"/>
            </w:pPr>
            <w:r>
              <w:t>24%</w:t>
            </w:r>
          </w:p>
        </w:tc>
        <w:tc>
          <w:tcPr>
            <w:tcW w:w="969" w:type="dxa"/>
            <w:shd w:val="clear" w:color="auto" w:fill="auto"/>
          </w:tcPr>
          <w:p w:rsidR="00F977A5" w:rsidRDefault="00F977A5" w:rsidP="004E28C0">
            <w:pPr>
              <w:jc w:val="right"/>
            </w:pPr>
            <w:r>
              <w:t>85</w:t>
            </w:r>
          </w:p>
        </w:tc>
      </w:tr>
      <w:tr w:rsidR="00F977A5" w:rsidTr="004E28C0">
        <w:trPr>
          <w:jc w:val="center"/>
        </w:trPr>
        <w:tc>
          <w:tcPr>
            <w:tcW w:w="1644" w:type="dxa"/>
            <w:shd w:val="clear" w:color="auto" w:fill="auto"/>
          </w:tcPr>
          <w:p w:rsidR="00F977A5" w:rsidRDefault="00F977A5" w:rsidP="004E28C0">
            <w:r>
              <w:t>Stabbing</w:t>
            </w:r>
          </w:p>
        </w:tc>
        <w:tc>
          <w:tcPr>
            <w:tcW w:w="1482" w:type="dxa"/>
            <w:shd w:val="clear" w:color="auto" w:fill="auto"/>
          </w:tcPr>
          <w:p w:rsidR="00F977A5" w:rsidRDefault="00F977A5" w:rsidP="004E28C0">
            <w:pPr>
              <w:jc w:val="right"/>
            </w:pPr>
            <w:r>
              <w:t>7%</w:t>
            </w:r>
          </w:p>
        </w:tc>
        <w:tc>
          <w:tcPr>
            <w:tcW w:w="969" w:type="dxa"/>
            <w:shd w:val="clear" w:color="auto" w:fill="auto"/>
          </w:tcPr>
          <w:p w:rsidR="00F977A5" w:rsidRDefault="00F977A5" w:rsidP="004E28C0">
            <w:pPr>
              <w:jc w:val="right"/>
            </w:pPr>
            <w:r>
              <w:t>26</w:t>
            </w:r>
          </w:p>
        </w:tc>
      </w:tr>
      <w:tr w:rsidR="00F977A5" w:rsidTr="004E28C0">
        <w:trPr>
          <w:jc w:val="center"/>
        </w:trPr>
        <w:tc>
          <w:tcPr>
            <w:tcW w:w="1644" w:type="dxa"/>
            <w:shd w:val="clear" w:color="auto" w:fill="auto"/>
          </w:tcPr>
          <w:p w:rsidR="00F977A5" w:rsidRDefault="00F977A5" w:rsidP="004E28C0">
            <w:r>
              <w:t>Whipping</w:t>
            </w:r>
          </w:p>
        </w:tc>
        <w:tc>
          <w:tcPr>
            <w:tcW w:w="1482" w:type="dxa"/>
            <w:shd w:val="clear" w:color="auto" w:fill="auto"/>
          </w:tcPr>
          <w:p w:rsidR="00F977A5" w:rsidRDefault="00F977A5" w:rsidP="004E28C0">
            <w:pPr>
              <w:jc w:val="right"/>
            </w:pPr>
            <w:r>
              <w:t>5%</w:t>
            </w:r>
          </w:p>
        </w:tc>
        <w:tc>
          <w:tcPr>
            <w:tcW w:w="969" w:type="dxa"/>
            <w:shd w:val="clear" w:color="auto" w:fill="auto"/>
          </w:tcPr>
          <w:p w:rsidR="00F977A5" w:rsidRDefault="00F977A5" w:rsidP="004E28C0">
            <w:pPr>
              <w:jc w:val="right"/>
            </w:pPr>
            <w:r>
              <w:t>19</w:t>
            </w:r>
          </w:p>
        </w:tc>
      </w:tr>
      <w:tr w:rsidR="00F977A5" w:rsidTr="004E28C0">
        <w:trPr>
          <w:jc w:val="center"/>
        </w:trPr>
        <w:tc>
          <w:tcPr>
            <w:tcW w:w="1644" w:type="dxa"/>
            <w:shd w:val="clear" w:color="auto" w:fill="auto"/>
          </w:tcPr>
          <w:p w:rsidR="00F977A5" w:rsidRDefault="00F977A5" w:rsidP="004E28C0">
            <w:r>
              <w:t>Shooting At</w:t>
            </w:r>
          </w:p>
        </w:tc>
        <w:tc>
          <w:tcPr>
            <w:tcW w:w="1482" w:type="dxa"/>
            <w:shd w:val="clear" w:color="auto" w:fill="auto"/>
          </w:tcPr>
          <w:p w:rsidR="00F977A5" w:rsidRDefault="00F977A5" w:rsidP="004E28C0">
            <w:pPr>
              <w:jc w:val="right"/>
            </w:pPr>
            <w:r>
              <w:t>5%</w:t>
            </w:r>
          </w:p>
        </w:tc>
        <w:tc>
          <w:tcPr>
            <w:tcW w:w="969" w:type="dxa"/>
            <w:shd w:val="clear" w:color="auto" w:fill="auto"/>
          </w:tcPr>
          <w:p w:rsidR="00F977A5" w:rsidRDefault="00F977A5" w:rsidP="004E28C0">
            <w:pPr>
              <w:jc w:val="right"/>
            </w:pPr>
            <w:r>
              <w:t>17</w:t>
            </w:r>
          </w:p>
        </w:tc>
      </w:tr>
      <w:tr w:rsidR="00F977A5" w:rsidTr="004E28C0">
        <w:trPr>
          <w:jc w:val="center"/>
        </w:trPr>
        <w:tc>
          <w:tcPr>
            <w:tcW w:w="1644" w:type="dxa"/>
            <w:shd w:val="clear" w:color="auto" w:fill="auto"/>
          </w:tcPr>
          <w:p w:rsidR="00F977A5" w:rsidRDefault="00F977A5" w:rsidP="004E28C0">
            <w:r>
              <w:t>Other*</w:t>
            </w:r>
          </w:p>
        </w:tc>
        <w:tc>
          <w:tcPr>
            <w:tcW w:w="1482" w:type="dxa"/>
            <w:shd w:val="clear" w:color="auto" w:fill="auto"/>
          </w:tcPr>
          <w:p w:rsidR="00F977A5" w:rsidRDefault="00F977A5" w:rsidP="004E28C0">
            <w:pPr>
              <w:jc w:val="right"/>
            </w:pPr>
            <w:r>
              <w:t>5%</w:t>
            </w:r>
          </w:p>
        </w:tc>
        <w:tc>
          <w:tcPr>
            <w:tcW w:w="969" w:type="dxa"/>
            <w:shd w:val="clear" w:color="auto" w:fill="auto"/>
          </w:tcPr>
          <w:p w:rsidR="00F977A5" w:rsidRDefault="00F977A5" w:rsidP="004E28C0">
            <w:pPr>
              <w:jc w:val="right"/>
            </w:pPr>
            <w:r>
              <w:t>16</w:t>
            </w:r>
          </w:p>
        </w:tc>
      </w:tr>
      <w:tr w:rsidR="00F977A5" w:rsidTr="004E28C0">
        <w:trPr>
          <w:jc w:val="center"/>
        </w:trPr>
        <w:tc>
          <w:tcPr>
            <w:tcW w:w="1644" w:type="dxa"/>
            <w:shd w:val="clear" w:color="auto" w:fill="auto"/>
          </w:tcPr>
          <w:p w:rsidR="00F977A5" w:rsidRDefault="00F977A5" w:rsidP="004E28C0">
            <w:r>
              <w:t>Total</w:t>
            </w:r>
          </w:p>
        </w:tc>
        <w:tc>
          <w:tcPr>
            <w:tcW w:w="1482" w:type="dxa"/>
            <w:shd w:val="clear" w:color="auto" w:fill="auto"/>
          </w:tcPr>
          <w:p w:rsidR="00F977A5" w:rsidRDefault="00F977A5" w:rsidP="004E28C0">
            <w:pPr>
              <w:jc w:val="right"/>
            </w:pPr>
            <w:r>
              <w:t>100%</w:t>
            </w:r>
          </w:p>
        </w:tc>
        <w:tc>
          <w:tcPr>
            <w:tcW w:w="969" w:type="dxa"/>
            <w:shd w:val="clear" w:color="auto" w:fill="auto"/>
          </w:tcPr>
          <w:p w:rsidR="00F977A5" w:rsidRDefault="00F977A5" w:rsidP="004E28C0">
            <w:pPr>
              <w:jc w:val="right"/>
            </w:pPr>
            <w:r>
              <w:t>355</w:t>
            </w:r>
          </w:p>
        </w:tc>
      </w:tr>
    </w:tbl>
    <w:p w:rsidR="00F977A5" w:rsidRDefault="00F977A5" w:rsidP="00F977A5">
      <w:pPr>
        <w:jc w:val="center"/>
      </w:pPr>
    </w:p>
    <w:p w:rsidR="00F977A5" w:rsidRDefault="00F977A5" w:rsidP="00F977A5">
      <w:r>
        <w:t>*other includes threatening with weapon (5), kidnapping (4), unknown (wounded: 3), hanging (not killed: 2), attempted murder (2)</w:t>
      </w:r>
    </w:p>
    <w:p w:rsidR="00F977A5" w:rsidRDefault="00F977A5" w:rsidP="00F977A5"/>
    <w:p w:rsidR="00F977A5" w:rsidRPr="00CA5E08" w:rsidRDefault="00B04C68" w:rsidP="00F977A5">
      <w:r w:rsidRPr="00CA5E08">
        <w:t>Source</w:t>
      </w:r>
      <w:r w:rsidR="00F977A5" w:rsidRPr="00CA5E08">
        <w:t>: Bureau of Refugees</w:t>
      </w:r>
      <w:r>
        <w:t>, Freedmen, and Abandoned Lands, 1868,</w:t>
      </w:r>
      <w:r w:rsidR="00F977A5" w:rsidRPr="00CA5E08">
        <w:t xml:space="preserve"> "Report of Outrages Committed upon Citizens [of the] State of Georgia </w:t>
      </w:r>
      <w:r>
        <w:t>f</w:t>
      </w:r>
      <w:r w:rsidR="00F977A5" w:rsidRPr="00CA5E08">
        <w:t>rom Jan 1st to Nov 15th, 1868." Located in Governor Bullock's Correspondence, Georgia State Archives (RG-SG-S:</w:t>
      </w:r>
      <w:r>
        <w:t xml:space="preserve"> </w:t>
      </w:r>
      <w:r w:rsidR="00F977A5" w:rsidRPr="00CA5E08">
        <w:t>1-1-5, box 56), Morrow, GA, August 2010</w:t>
      </w:r>
      <w:r>
        <w:t>.  S</w:t>
      </w:r>
      <w:r w:rsidR="00F977A5" w:rsidRPr="00CA5E08">
        <w:t>canned by Georgia State Archives</w:t>
      </w:r>
      <w:r>
        <w:t>; c</w:t>
      </w:r>
      <w:r w:rsidR="00F977A5" w:rsidRPr="00CA5E08">
        <w:t>oded and analyzed by author.</w:t>
      </w:r>
    </w:p>
    <w:p w:rsidR="00F977A5" w:rsidRDefault="00F977A5" w:rsidP="00F977A5"/>
    <w:p w:rsidR="00F977A5" w:rsidRDefault="00F977A5" w:rsidP="004F61EB">
      <w:pPr>
        <w:spacing w:line="480" w:lineRule="auto"/>
      </w:pPr>
    </w:p>
    <w:p w:rsidR="00A008A3" w:rsidRDefault="00A008A3" w:rsidP="00A008A3">
      <w:pPr>
        <w:spacing w:line="480" w:lineRule="auto"/>
      </w:pPr>
      <w:r>
        <w:tab/>
        <w:t>Nevertheless, few of the events that produced the victimizations enumerated in the report would qualify as vigilantism or lynching.  Generally, it is more appropriate to consider these as crimes perpetrated against the Freedmen of Georgia.</w:t>
      </w:r>
      <w:r w:rsidR="00F906ED">
        <w:rPr>
          <w:rStyle w:val="FootnoteReference"/>
        </w:rPr>
        <w:footnoteReference w:id="11"/>
      </w:r>
      <w:r>
        <w:t xml:space="preserve">  As seen in Table 10, only 28% (101) of the 355 outrages were murders.  Of these, only 45 entailed three or more perpetrators.  Most, in fact, were the actions of individuals, who took the law into their own hands, disciplining </w:t>
      </w:r>
      <w:r>
        <w:lastRenderedPageBreak/>
        <w:t>freedmen in the same way that they had punished slaves.  Beating and whipping accounted for 31% of all outrages.</w:t>
      </w:r>
    </w:p>
    <w:p w:rsidR="00B750D8" w:rsidRPr="00CE56A6" w:rsidRDefault="00A008A3" w:rsidP="0083497D">
      <w:pPr>
        <w:keepNext/>
        <w:jc w:val="center"/>
        <w:rPr>
          <w:b/>
        </w:rPr>
      </w:pPr>
      <w:r w:rsidRPr="00CE56A6">
        <w:rPr>
          <w:b/>
        </w:rPr>
        <w:t>Table 11</w:t>
      </w:r>
    </w:p>
    <w:p w:rsidR="00A008A3" w:rsidRPr="00CE56A6" w:rsidRDefault="00A008A3" w:rsidP="0083497D">
      <w:pPr>
        <w:keepNext/>
        <w:jc w:val="center"/>
        <w:rPr>
          <w:b/>
        </w:rPr>
      </w:pPr>
      <w:r w:rsidRPr="00CE56A6">
        <w:rPr>
          <w:b/>
        </w:rPr>
        <w:t>Race of Perpetrator (including groups) in Outrages Reported by Freedman's Bureau in Georgia, January-November 15, 1868 (N=425)</w:t>
      </w:r>
    </w:p>
    <w:p w:rsidR="00A008A3" w:rsidRDefault="00A008A3" w:rsidP="0083497D">
      <w:pPr>
        <w:keepNext/>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4"/>
        <w:gridCol w:w="1482"/>
        <w:gridCol w:w="969"/>
      </w:tblGrid>
      <w:tr w:rsidR="00A008A3" w:rsidTr="005F7EE0">
        <w:trPr>
          <w:jc w:val="center"/>
        </w:trPr>
        <w:tc>
          <w:tcPr>
            <w:tcW w:w="1644" w:type="dxa"/>
            <w:shd w:val="clear" w:color="auto" w:fill="auto"/>
          </w:tcPr>
          <w:p w:rsidR="00A008A3" w:rsidRPr="00D15174" w:rsidRDefault="00A008A3" w:rsidP="005F7EE0">
            <w:pPr>
              <w:jc w:val="center"/>
              <w:rPr>
                <w:b/>
              </w:rPr>
            </w:pPr>
            <w:r w:rsidRPr="00D15174">
              <w:rPr>
                <w:b/>
              </w:rPr>
              <w:t>Race</w:t>
            </w:r>
          </w:p>
        </w:tc>
        <w:tc>
          <w:tcPr>
            <w:tcW w:w="1482" w:type="dxa"/>
            <w:shd w:val="clear" w:color="auto" w:fill="auto"/>
          </w:tcPr>
          <w:p w:rsidR="00A008A3" w:rsidRPr="00D15174" w:rsidRDefault="00A008A3" w:rsidP="005F7EE0">
            <w:pPr>
              <w:jc w:val="center"/>
              <w:rPr>
                <w:b/>
              </w:rPr>
            </w:pPr>
            <w:r w:rsidRPr="00D15174">
              <w:rPr>
                <w:b/>
              </w:rPr>
              <w:t>percent</w:t>
            </w:r>
          </w:p>
        </w:tc>
        <w:tc>
          <w:tcPr>
            <w:tcW w:w="969" w:type="dxa"/>
            <w:shd w:val="clear" w:color="auto" w:fill="auto"/>
          </w:tcPr>
          <w:p w:rsidR="00A008A3" w:rsidRPr="00D15174" w:rsidRDefault="00A008A3" w:rsidP="005F7EE0">
            <w:pPr>
              <w:jc w:val="center"/>
              <w:rPr>
                <w:b/>
              </w:rPr>
            </w:pPr>
            <w:r w:rsidRPr="00D15174">
              <w:rPr>
                <w:b/>
              </w:rPr>
              <w:t>N</w:t>
            </w:r>
          </w:p>
        </w:tc>
      </w:tr>
      <w:tr w:rsidR="00A008A3" w:rsidTr="005F7EE0">
        <w:trPr>
          <w:jc w:val="center"/>
        </w:trPr>
        <w:tc>
          <w:tcPr>
            <w:tcW w:w="1644" w:type="dxa"/>
            <w:shd w:val="clear" w:color="auto" w:fill="auto"/>
          </w:tcPr>
          <w:p w:rsidR="00A008A3" w:rsidRDefault="00A008A3" w:rsidP="005F7EE0">
            <w:r>
              <w:t>Black</w:t>
            </w:r>
          </w:p>
        </w:tc>
        <w:tc>
          <w:tcPr>
            <w:tcW w:w="1482" w:type="dxa"/>
            <w:shd w:val="clear" w:color="auto" w:fill="auto"/>
          </w:tcPr>
          <w:p w:rsidR="00A008A3" w:rsidRDefault="00A008A3" w:rsidP="005F7EE0">
            <w:pPr>
              <w:jc w:val="right"/>
            </w:pPr>
            <w:r>
              <w:t>6%</w:t>
            </w:r>
          </w:p>
        </w:tc>
        <w:tc>
          <w:tcPr>
            <w:tcW w:w="969" w:type="dxa"/>
            <w:shd w:val="clear" w:color="auto" w:fill="auto"/>
          </w:tcPr>
          <w:p w:rsidR="00A008A3" w:rsidRDefault="00A008A3" w:rsidP="005F7EE0">
            <w:pPr>
              <w:jc w:val="right"/>
            </w:pPr>
            <w:r>
              <w:t>26</w:t>
            </w:r>
          </w:p>
        </w:tc>
      </w:tr>
      <w:tr w:rsidR="00A008A3" w:rsidTr="005F7EE0">
        <w:trPr>
          <w:jc w:val="center"/>
        </w:trPr>
        <w:tc>
          <w:tcPr>
            <w:tcW w:w="1644" w:type="dxa"/>
            <w:shd w:val="clear" w:color="auto" w:fill="auto"/>
          </w:tcPr>
          <w:p w:rsidR="00A008A3" w:rsidRDefault="00A008A3" w:rsidP="005F7EE0">
            <w:r>
              <w:t>White</w:t>
            </w:r>
          </w:p>
        </w:tc>
        <w:tc>
          <w:tcPr>
            <w:tcW w:w="1482" w:type="dxa"/>
            <w:shd w:val="clear" w:color="auto" w:fill="auto"/>
          </w:tcPr>
          <w:p w:rsidR="00A008A3" w:rsidRDefault="00A008A3" w:rsidP="005F7EE0">
            <w:pPr>
              <w:jc w:val="right"/>
            </w:pPr>
            <w:r>
              <w:t>66%</w:t>
            </w:r>
          </w:p>
        </w:tc>
        <w:tc>
          <w:tcPr>
            <w:tcW w:w="969" w:type="dxa"/>
            <w:shd w:val="clear" w:color="auto" w:fill="auto"/>
          </w:tcPr>
          <w:p w:rsidR="00A008A3" w:rsidRDefault="00A008A3" w:rsidP="005F7EE0">
            <w:pPr>
              <w:jc w:val="right"/>
            </w:pPr>
            <w:r>
              <w:t>280</w:t>
            </w:r>
          </w:p>
        </w:tc>
      </w:tr>
      <w:tr w:rsidR="00A008A3" w:rsidTr="005F7EE0">
        <w:trPr>
          <w:jc w:val="center"/>
        </w:trPr>
        <w:tc>
          <w:tcPr>
            <w:tcW w:w="1644" w:type="dxa"/>
            <w:shd w:val="clear" w:color="auto" w:fill="auto"/>
          </w:tcPr>
          <w:p w:rsidR="00A008A3" w:rsidRDefault="00A008A3" w:rsidP="005F7EE0">
            <w:r>
              <w:t>Unknown</w:t>
            </w:r>
          </w:p>
        </w:tc>
        <w:tc>
          <w:tcPr>
            <w:tcW w:w="1482" w:type="dxa"/>
            <w:shd w:val="clear" w:color="auto" w:fill="auto"/>
          </w:tcPr>
          <w:p w:rsidR="00A008A3" w:rsidRDefault="00A008A3" w:rsidP="005F7EE0">
            <w:pPr>
              <w:jc w:val="right"/>
            </w:pPr>
            <w:r>
              <w:t>28%</w:t>
            </w:r>
          </w:p>
        </w:tc>
        <w:tc>
          <w:tcPr>
            <w:tcW w:w="969" w:type="dxa"/>
            <w:shd w:val="clear" w:color="auto" w:fill="auto"/>
          </w:tcPr>
          <w:p w:rsidR="00A008A3" w:rsidRDefault="00A008A3" w:rsidP="005F7EE0">
            <w:pPr>
              <w:jc w:val="right"/>
            </w:pPr>
            <w:r>
              <w:t>119</w:t>
            </w:r>
          </w:p>
        </w:tc>
      </w:tr>
      <w:tr w:rsidR="00A008A3" w:rsidTr="005F7EE0">
        <w:trPr>
          <w:jc w:val="center"/>
        </w:trPr>
        <w:tc>
          <w:tcPr>
            <w:tcW w:w="1644" w:type="dxa"/>
            <w:shd w:val="clear" w:color="auto" w:fill="auto"/>
          </w:tcPr>
          <w:p w:rsidR="00A008A3" w:rsidRDefault="00A008A3" w:rsidP="005F7EE0">
            <w:r>
              <w:t>Total</w:t>
            </w:r>
          </w:p>
        </w:tc>
        <w:tc>
          <w:tcPr>
            <w:tcW w:w="1482" w:type="dxa"/>
            <w:shd w:val="clear" w:color="auto" w:fill="auto"/>
          </w:tcPr>
          <w:p w:rsidR="00A008A3" w:rsidRDefault="00A008A3" w:rsidP="005F7EE0">
            <w:pPr>
              <w:jc w:val="right"/>
            </w:pPr>
            <w:r>
              <w:t>100%</w:t>
            </w:r>
          </w:p>
        </w:tc>
        <w:tc>
          <w:tcPr>
            <w:tcW w:w="969" w:type="dxa"/>
            <w:shd w:val="clear" w:color="auto" w:fill="auto"/>
          </w:tcPr>
          <w:p w:rsidR="00A008A3" w:rsidRDefault="00A008A3" w:rsidP="005F7EE0">
            <w:pPr>
              <w:jc w:val="right"/>
            </w:pPr>
            <w:r>
              <w:t>425</w:t>
            </w:r>
          </w:p>
        </w:tc>
      </w:tr>
    </w:tbl>
    <w:p w:rsidR="00A008A3" w:rsidRDefault="00A008A3" w:rsidP="00A008A3">
      <w:pPr>
        <w:jc w:val="center"/>
      </w:pPr>
    </w:p>
    <w:p w:rsidR="00A008A3" w:rsidRPr="00CA5E08" w:rsidRDefault="00B04C68" w:rsidP="00A008A3">
      <w:r w:rsidRPr="00CA5E08">
        <w:t>Source: Bureau of Refugees, Free</w:t>
      </w:r>
      <w:r>
        <w:t>dmen, and Abandoned Lands, 1868,</w:t>
      </w:r>
      <w:r w:rsidRPr="00CA5E08">
        <w:t xml:space="preserve"> </w:t>
      </w:r>
      <w:r w:rsidR="00A008A3" w:rsidRPr="00CA5E08">
        <w:t xml:space="preserve">"Report of Outrages Committed upon Citizens [of the] State of Georgia </w:t>
      </w:r>
      <w:r w:rsidRPr="00CA5E08">
        <w:t>from</w:t>
      </w:r>
      <w:r w:rsidR="00A008A3" w:rsidRPr="00CA5E08">
        <w:t xml:space="preserve"> Jan 1st to Nov 15th, 1868." </w:t>
      </w:r>
    </w:p>
    <w:p w:rsidR="00A008A3" w:rsidRDefault="00A008A3" w:rsidP="00A008A3">
      <w:pPr>
        <w:jc w:val="center"/>
      </w:pPr>
    </w:p>
    <w:p w:rsidR="00B750D8" w:rsidRDefault="00B750D8" w:rsidP="00A008A3">
      <w:pPr>
        <w:jc w:val="center"/>
      </w:pPr>
    </w:p>
    <w:p w:rsidR="00C6205D" w:rsidRDefault="00EF631F">
      <w:pPr>
        <w:tabs>
          <w:tab w:val="left" w:pos="720"/>
        </w:tabs>
        <w:spacing w:line="480" w:lineRule="auto"/>
      </w:pPr>
      <w:r>
        <w:tab/>
      </w:r>
      <w:r w:rsidR="00C6205D">
        <w:t>As seen in Table 11, whites committed most (66%) of these outrages.</w:t>
      </w:r>
      <w:r w:rsidR="007426FF">
        <w:t xml:space="preserve">  </w:t>
      </w:r>
      <w:r w:rsidR="007426FF" w:rsidRPr="007426FF">
        <w:t xml:space="preserve">In fact, we can </w:t>
      </w:r>
      <w:r w:rsidR="00790E5F">
        <w:t>assume that all of the victims we</w:t>
      </w:r>
      <w:r w:rsidR="007426FF" w:rsidRPr="007426FF">
        <w:t>re Freedmen, since this is the report of outrages against the Freedm</w:t>
      </w:r>
      <w:r w:rsidR="007426FF">
        <w:t>en of Georgia, and we can assume that virtually all of the unknown assailants were white</w:t>
      </w:r>
      <w:r w:rsidR="003E7DF1">
        <w:t>.</w:t>
      </w:r>
    </w:p>
    <w:p w:rsidR="007426FF" w:rsidRPr="00CE56A6" w:rsidRDefault="007426FF" w:rsidP="00B04C68">
      <w:pPr>
        <w:tabs>
          <w:tab w:val="left" w:pos="720"/>
        </w:tabs>
        <w:jc w:val="center"/>
        <w:rPr>
          <w:b/>
        </w:rPr>
      </w:pPr>
      <w:r w:rsidRPr="00CE56A6">
        <w:rPr>
          <w:b/>
        </w:rPr>
        <w:t>Table 12</w:t>
      </w:r>
    </w:p>
    <w:p w:rsidR="007426FF" w:rsidRPr="00CE56A6" w:rsidRDefault="007426FF" w:rsidP="00B04C68">
      <w:pPr>
        <w:jc w:val="center"/>
        <w:rPr>
          <w:b/>
        </w:rPr>
      </w:pPr>
      <w:r w:rsidRPr="00CE56A6">
        <w:rPr>
          <w:b/>
        </w:rPr>
        <w:t>Percent Arrested by Race of Perpetrator (including groups) in Outrages Reported by Freedman's Bureau in Georgia, January-November 15, 1868 (N=425)</w:t>
      </w:r>
    </w:p>
    <w:p w:rsidR="007426FF" w:rsidRDefault="007426FF" w:rsidP="007426FF">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2"/>
        <w:gridCol w:w="1137"/>
        <w:gridCol w:w="684"/>
        <w:gridCol w:w="989"/>
        <w:gridCol w:w="1016"/>
        <w:gridCol w:w="912"/>
      </w:tblGrid>
      <w:tr w:rsidR="007426FF" w:rsidTr="009D6382">
        <w:trPr>
          <w:jc w:val="center"/>
        </w:trPr>
        <w:tc>
          <w:tcPr>
            <w:tcW w:w="1362" w:type="dxa"/>
            <w:shd w:val="clear" w:color="auto" w:fill="auto"/>
          </w:tcPr>
          <w:p w:rsidR="007426FF" w:rsidRPr="00D15174" w:rsidRDefault="007426FF" w:rsidP="009D6382">
            <w:pPr>
              <w:jc w:val="center"/>
              <w:rPr>
                <w:b/>
              </w:rPr>
            </w:pPr>
          </w:p>
        </w:tc>
        <w:tc>
          <w:tcPr>
            <w:tcW w:w="1821" w:type="dxa"/>
            <w:gridSpan w:val="2"/>
            <w:shd w:val="clear" w:color="auto" w:fill="auto"/>
          </w:tcPr>
          <w:p w:rsidR="007426FF" w:rsidRPr="00D15174" w:rsidRDefault="007426FF" w:rsidP="009D6382">
            <w:pPr>
              <w:jc w:val="center"/>
              <w:rPr>
                <w:b/>
              </w:rPr>
            </w:pPr>
            <w:r w:rsidRPr="00D15174">
              <w:rPr>
                <w:b/>
              </w:rPr>
              <w:t>Arrested</w:t>
            </w:r>
          </w:p>
        </w:tc>
        <w:tc>
          <w:tcPr>
            <w:tcW w:w="2005" w:type="dxa"/>
            <w:gridSpan w:val="2"/>
            <w:shd w:val="clear" w:color="auto" w:fill="auto"/>
          </w:tcPr>
          <w:p w:rsidR="007426FF" w:rsidRPr="00D15174" w:rsidRDefault="007426FF" w:rsidP="009D6382">
            <w:pPr>
              <w:jc w:val="center"/>
              <w:rPr>
                <w:b/>
              </w:rPr>
            </w:pPr>
            <w:r w:rsidRPr="00D15174">
              <w:rPr>
                <w:b/>
              </w:rPr>
              <w:t>not arrested</w:t>
            </w:r>
          </w:p>
        </w:tc>
        <w:tc>
          <w:tcPr>
            <w:tcW w:w="912" w:type="dxa"/>
            <w:shd w:val="clear" w:color="auto" w:fill="auto"/>
          </w:tcPr>
          <w:p w:rsidR="007426FF" w:rsidRPr="00D15174" w:rsidRDefault="007426FF" w:rsidP="009D6382">
            <w:pPr>
              <w:jc w:val="center"/>
              <w:rPr>
                <w:b/>
              </w:rPr>
            </w:pPr>
            <w:r w:rsidRPr="00D15174">
              <w:rPr>
                <w:b/>
              </w:rPr>
              <w:t>Total</w:t>
            </w:r>
          </w:p>
        </w:tc>
      </w:tr>
      <w:tr w:rsidR="007426FF" w:rsidTr="009D6382">
        <w:trPr>
          <w:jc w:val="center"/>
        </w:trPr>
        <w:tc>
          <w:tcPr>
            <w:tcW w:w="1362" w:type="dxa"/>
            <w:shd w:val="clear" w:color="auto" w:fill="auto"/>
          </w:tcPr>
          <w:p w:rsidR="007426FF" w:rsidRPr="00D15174" w:rsidRDefault="007426FF" w:rsidP="009D6382">
            <w:pPr>
              <w:jc w:val="center"/>
              <w:rPr>
                <w:b/>
              </w:rPr>
            </w:pPr>
            <w:r w:rsidRPr="00D15174">
              <w:rPr>
                <w:b/>
              </w:rPr>
              <w:t>Race</w:t>
            </w:r>
          </w:p>
        </w:tc>
        <w:tc>
          <w:tcPr>
            <w:tcW w:w="1137" w:type="dxa"/>
            <w:shd w:val="clear" w:color="auto" w:fill="auto"/>
          </w:tcPr>
          <w:p w:rsidR="007426FF" w:rsidRPr="00D15174" w:rsidRDefault="007426FF" w:rsidP="009D6382">
            <w:pPr>
              <w:jc w:val="center"/>
              <w:rPr>
                <w:b/>
              </w:rPr>
            </w:pPr>
            <w:r w:rsidRPr="00D15174">
              <w:rPr>
                <w:b/>
              </w:rPr>
              <w:t>percent</w:t>
            </w:r>
          </w:p>
        </w:tc>
        <w:tc>
          <w:tcPr>
            <w:tcW w:w="684" w:type="dxa"/>
            <w:shd w:val="clear" w:color="auto" w:fill="auto"/>
          </w:tcPr>
          <w:p w:rsidR="007426FF" w:rsidRPr="00D15174" w:rsidRDefault="007426FF" w:rsidP="009D6382">
            <w:pPr>
              <w:jc w:val="center"/>
              <w:rPr>
                <w:b/>
              </w:rPr>
            </w:pPr>
            <w:r w:rsidRPr="00D15174">
              <w:rPr>
                <w:b/>
              </w:rPr>
              <w:t>N</w:t>
            </w:r>
          </w:p>
        </w:tc>
        <w:tc>
          <w:tcPr>
            <w:tcW w:w="989" w:type="dxa"/>
            <w:shd w:val="clear" w:color="auto" w:fill="auto"/>
          </w:tcPr>
          <w:p w:rsidR="007426FF" w:rsidRPr="00D15174" w:rsidRDefault="007426FF" w:rsidP="009D6382">
            <w:pPr>
              <w:jc w:val="center"/>
              <w:rPr>
                <w:b/>
              </w:rPr>
            </w:pPr>
            <w:r w:rsidRPr="00D15174">
              <w:rPr>
                <w:b/>
              </w:rPr>
              <w:t>percent</w:t>
            </w:r>
          </w:p>
        </w:tc>
        <w:tc>
          <w:tcPr>
            <w:tcW w:w="1016" w:type="dxa"/>
            <w:shd w:val="clear" w:color="auto" w:fill="auto"/>
          </w:tcPr>
          <w:p w:rsidR="007426FF" w:rsidRPr="00D15174" w:rsidRDefault="007426FF" w:rsidP="009D6382">
            <w:pPr>
              <w:jc w:val="center"/>
              <w:rPr>
                <w:b/>
              </w:rPr>
            </w:pPr>
            <w:r w:rsidRPr="00D15174">
              <w:rPr>
                <w:b/>
              </w:rPr>
              <w:t>N</w:t>
            </w:r>
          </w:p>
        </w:tc>
        <w:tc>
          <w:tcPr>
            <w:tcW w:w="912" w:type="dxa"/>
            <w:shd w:val="clear" w:color="auto" w:fill="auto"/>
          </w:tcPr>
          <w:p w:rsidR="007426FF" w:rsidRPr="00D15174" w:rsidRDefault="007426FF" w:rsidP="009D6382">
            <w:pPr>
              <w:jc w:val="center"/>
              <w:rPr>
                <w:b/>
              </w:rPr>
            </w:pPr>
          </w:p>
        </w:tc>
      </w:tr>
      <w:tr w:rsidR="007426FF" w:rsidTr="009D6382">
        <w:trPr>
          <w:jc w:val="center"/>
        </w:trPr>
        <w:tc>
          <w:tcPr>
            <w:tcW w:w="1362" w:type="dxa"/>
            <w:shd w:val="clear" w:color="auto" w:fill="auto"/>
          </w:tcPr>
          <w:p w:rsidR="007426FF" w:rsidRDefault="007426FF" w:rsidP="009D6382">
            <w:r>
              <w:t>Black</w:t>
            </w:r>
          </w:p>
        </w:tc>
        <w:tc>
          <w:tcPr>
            <w:tcW w:w="1137" w:type="dxa"/>
            <w:shd w:val="clear" w:color="auto" w:fill="auto"/>
          </w:tcPr>
          <w:p w:rsidR="007426FF" w:rsidRDefault="007426FF" w:rsidP="009D6382">
            <w:pPr>
              <w:jc w:val="right"/>
            </w:pPr>
            <w:r>
              <w:t>58%</w:t>
            </w:r>
          </w:p>
        </w:tc>
        <w:tc>
          <w:tcPr>
            <w:tcW w:w="684" w:type="dxa"/>
            <w:shd w:val="clear" w:color="auto" w:fill="auto"/>
          </w:tcPr>
          <w:p w:rsidR="007426FF" w:rsidRDefault="007426FF" w:rsidP="009D6382">
            <w:pPr>
              <w:jc w:val="right"/>
            </w:pPr>
            <w:r>
              <w:t>15</w:t>
            </w:r>
          </w:p>
        </w:tc>
        <w:tc>
          <w:tcPr>
            <w:tcW w:w="989" w:type="dxa"/>
            <w:shd w:val="clear" w:color="auto" w:fill="auto"/>
          </w:tcPr>
          <w:p w:rsidR="007426FF" w:rsidRDefault="007426FF" w:rsidP="009D6382">
            <w:pPr>
              <w:jc w:val="right"/>
            </w:pPr>
            <w:r>
              <w:t>42%</w:t>
            </w:r>
          </w:p>
        </w:tc>
        <w:tc>
          <w:tcPr>
            <w:tcW w:w="1016" w:type="dxa"/>
            <w:shd w:val="clear" w:color="auto" w:fill="auto"/>
          </w:tcPr>
          <w:p w:rsidR="007426FF" w:rsidRDefault="007426FF" w:rsidP="009D6382">
            <w:pPr>
              <w:jc w:val="right"/>
            </w:pPr>
            <w:r>
              <w:t>11</w:t>
            </w:r>
          </w:p>
        </w:tc>
        <w:tc>
          <w:tcPr>
            <w:tcW w:w="912" w:type="dxa"/>
            <w:shd w:val="clear" w:color="auto" w:fill="auto"/>
          </w:tcPr>
          <w:p w:rsidR="007426FF" w:rsidRDefault="007426FF" w:rsidP="009D6382">
            <w:pPr>
              <w:jc w:val="right"/>
            </w:pPr>
            <w:r>
              <w:t>26</w:t>
            </w:r>
          </w:p>
        </w:tc>
      </w:tr>
      <w:tr w:rsidR="007426FF" w:rsidTr="009D6382">
        <w:trPr>
          <w:jc w:val="center"/>
        </w:trPr>
        <w:tc>
          <w:tcPr>
            <w:tcW w:w="1362" w:type="dxa"/>
            <w:shd w:val="clear" w:color="auto" w:fill="auto"/>
          </w:tcPr>
          <w:p w:rsidR="007426FF" w:rsidRDefault="007426FF" w:rsidP="009D6382">
            <w:r>
              <w:t>White</w:t>
            </w:r>
          </w:p>
        </w:tc>
        <w:tc>
          <w:tcPr>
            <w:tcW w:w="1137" w:type="dxa"/>
            <w:shd w:val="clear" w:color="auto" w:fill="auto"/>
          </w:tcPr>
          <w:p w:rsidR="007426FF" w:rsidRDefault="007426FF" w:rsidP="009D6382">
            <w:pPr>
              <w:jc w:val="right"/>
            </w:pPr>
            <w:r>
              <w:t>15%</w:t>
            </w:r>
          </w:p>
        </w:tc>
        <w:tc>
          <w:tcPr>
            <w:tcW w:w="684" w:type="dxa"/>
            <w:shd w:val="clear" w:color="auto" w:fill="auto"/>
          </w:tcPr>
          <w:p w:rsidR="007426FF" w:rsidRDefault="007426FF" w:rsidP="009D6382">
            <w:pPr>
              <w:jc w:val="right"/>
            </w:pPr>
            <w:r>
              <w:t>41</w:t>
            </w:r>
          </w:p>
        </w:tc>
        <w:tc>
          <w:tcPr>
            <w:tcW w:w="989" w:type="dxa"/>
            <w:shd w:val="clear" w:color="auto" w:fill="auto"/>
          </w:tcPr>
          <w:p w:rsidR="007426FF" w:rsidRDefault="007426FF" w:rsidP="009D6382">
            <w:pPr>
              <w:jc w:val="right"/>
            </w:pPr>
            <w:r>
              <w:t>85%</w:t>
            </w:r>
          </w:p>
        </w:tc>
        <w:tc>
          <w:tcPr>
            <w:tcW w:w="1016" w:type="dxa"/>
            <w:shd w:val="clear" w:color="auto" w:fill="auto"/>
          </w:tcPr>
          <w:p w:rsidR="007426FF" w:rsidRDefault="007426FF" w:rsidP="009D6382">
            <w:pPr>
              <w:jc w:val="right"/>
            </w:pPr>
            <w:r>
              <w:t>239</w:t>
            </w:r>
          </w:p>
        </w:tc>
        <w:tc>
          <w:tcPr>
            <w:tcW w:w="912" w:type="dxa"/>
            <w:shd w:val="clear" w:color="auto" w:fill="auto"/>
          </w:tcPr>
          <w:p w:rsidR="007426FF" w:rsidRDefault="007426FF" w:rsidP="009D6382">
            <w:pPr>
              <w:jc w:val="right"/>
            </w:pPr>
            <w:r>
              <w:t>280</w:t>
            </w:r>
          </w:p>
        </w:tc>
      </w:tr>
      <w:tr w:rsidR="007426FF" w:rsidTr="009D6382">
        <w:trPr>
          <w:jc w:val="center"/>
        </w:trPr>
        <w:tc>
          <w:tcPr>
            <w:tcW w:w="1362" w:type="dxa"/>
            <w:shd w:val="clear" w:color="auto" w:fill="auto"/>
          </w:tcPr>
          <w:p w:rsidR="007426FF" w:rsidRDefault="007426FF" w:rsidP="009D6382">
            <w:r>
              <w:t>Unknown</w:t>
            </w:r>
          </w:p>
        </w:tc>
        <w:tc>
          <w:tcPr>
            <w:tcW w:w="1137" w:type="dxa"/>
            <w:shd w:val="clear" w:color="auto" w:fill="auto"/>
          </w:tcPr>
          <w:p w:rsidR="007426FF" w:rsidRDefault="007426FF" w:rsidP="009D6382">
            <w:pPr>
              <w:jc w:val="right"/>
            </w:pPr>
            <w:r>
              <w:t>7%</w:t>
            </w:r>
          </w:p>
        </w:tc>
        <w:tc>
          <w:tcPr>
            <w:tcW w:w="684" w:type="dxa"/>
            <w:shd w:val="clear" w:color="auto" w:fill="auto"/>
          </w:tcPr>
          <w:p w:rsidR="007426FF" w:rsidRDefault="007426FF" w:rsidP="009D6382">
            <w:pPr>
              <w:jc w:val="right"/>
            </w:pPr>
            <w:r>
              <w:t>8</w:t>
            </w:r>
          </w:p>
        </w:tc>
        <w:tc>
          <w:tcPr>
            <w:tcW w:w="989" w:type="dxa"/>
            <w:shd w:val="clear" w:color="auto" w:fill="auto"/>
          </w:tcPr>
          <w:p w:rsidR="007426FF" w:rsidRDefault="007426FF" w:rsidP="009D6382">
            <w:pPr>
              <w:jc w:val="right"/>
            </w:pPr>
            <w:r>
              <w:t>93%</w:t>
            </w:r>
          </w:p>
        </w:tc>
        <w:tc>
          <w:tcPr>
            <w:tcW w:w="1016" w:type="dxa"/>
            <w:shd w:val="clear" w:color="auto" w:fill="auto"/>
          </w:tcPr>
          <w:p w:rsidR="007426FF" w:rsidRDefault="007426FF" w:rsidP="009D6382">
            <w:pPr>
              <w:jc w:val="right"/>
            </w:pPr>
            <w:r>
              <w:t>111</w:t>
            </w:r>
          </w:p>
        </w:tc>
        <w:tc>
          <w:tcPr>
            <w:tcW w:w="912" w:type="dxa"/>
            <w:shd w:val="clear" w:color="auto" w:fill="auto"/>
          </w:tcPr>
          <w:p w:rsidR="007426FF" w:rsidRDefault="007426FF" w:rsidP="009D6382">
            <w:pPr>
              <w:jc w:val="right"/>
            </w:pPr>
            <w:r>
              <w:t>119</w:t>
            </w:r>
          </w:p>
        </w:tc>
      </w:tr>
      <w:tr w:rsidR="007426FF" w:rsidTr="009D6382">
        <w:trPr>
          <w:jc w:val="center"/>
        </w:trPr>
        <w:tc>
          <w:tcPr>
            <w:tcW w:w="1362" w:type="dxa"/>
            <w:shd w:val="clear" w:color="auto" w:fill="auto"/>
          </w:tcPr>
          <w:p w:rsidR="007426FF" w:rsidRDefault="007426FF" w:rsidP="009D6382">
            <w:r>
              <w:t>Total</w:t>
            </w:r>
          </w:p>
        </w:tc>
        <w:tc>
          <w:tcPr>
            <w:tcW w:w="1137" w:type="dxa"/>
            <w:shd w:val="clear" w:color="auto" w:fill="auto"/>
          </w:tcPr>
          <w:p w:rsidR="007426FF" w:rsidRDefault="007426FF" w:rsidP="009D6382">
            <w:pPr>
              <w:jc w:val="right"/>
            </w:pPr>
            <w:r>
              <w:t>15%</w:t>
            </w:r>
          </w:p>
        </w:tc>
        <w:tc>
          <w:tcPr>
            <w:tcW w:w="684" w:type="dxa"/>
            <w:shd w:val="clear" w:color="auto" w:fill="auto"/>
          </w:tcPr>
          <w:p w:rsidR="007426FF" w:rsidRDefault="007426FF" w:rsidP="009D6382">
            <w:pPr>
              <w:jc w:val="right"/>
            </w:pPr>
            <w:r>
              <w:t>64</w:t>
            </w:r>
          </w:p>
        </w:tc>
        <w:tc>
          <w:tcPr>
            <w:tcW w:w="989" w:type="dxa"/>
            <w:shd w:val="clear" w:color="auto" w:fill="auto"/>
          </w:tcPr>
          <w:p w:rsidR="007426FF" w:rsidRDefault="007426FF" w:rsidP="009D6382">
            <w:pPr>
              <w:jc w:val="right"/>
            </w:pPr>
            <w:r>
              <w:t>85%</w:t>
            </w:r>
          </w:p>
        </w:tc>
        <w:tc>
          <w:tcPr>
            <w:tcW w:w="1016" w:type="dxa"/>
            <w:shd w:val="clear" w:color="auto" w:fill="auto"/>
          </w:tcPr>
          <w:p w:rsidR="007426FF" w:rsidRDefault="007426FF" w:rsidP="009D6382">
            <w:pPr>
              <w:jc w:val="right"/>
            </w:pPr>
            <w:r>
              <w:t>361</w:t>
            </w:r>
          </w:p>
        </w:tc>
        <w:tc>
          <w:tcPr>
            <w:tcW w:w="912" w:type="dxa"/>
            <w:shd w:val="clear" w:color="auto" w:fill="auto"/>
          </w:tcPr>
          <w:p w:rsidR="007426FF" w:rsidRDefault="007426FF" w:rsidP="009D6382">
            <w:pPr>
              <w:jc w:val="right"/>
            </w:pPr>
            <w:r>
              <w:t>425</w:t>
            </w:r>
          </w:p>
        </w:tc>
      </w:tr>
    </w:tbl>
    <w:p w:rsidR="007426FF" w:rsidRDefault="007426FF" w:rsidP="007426FF">
      <w:pPr>
        <w:jc w:val="center"/>
      </w:pPr>
    </w:p>
    <w:p w:rsidR="007426FF" w:rsidRDefault="00B04C68" w:rsidP="007426FF">
      <w:r w:rsidRPr="00CA5E08">
        <w:t>Source: Bureau of Refugees, Free</w:t>
      </w:r>
      <w:r>
        <w:t>dmen, and Abandoned Lands,</w:t>
      </w:r>
      <w:r w:rsidRPr="00CA5E08">
        <w:t xml:space="preserve"> </w:t>
      </w:r>
      <w:r w:rsidR="007426FF" w:rsidRPr="00CA5E08">
        <w:t xml:space="preserve">1868. </w:t>
      </w:r>
    </w:p>
    <w:p w:rsidR="003E7DF1" w:rsidRDefault="003E7DF1" w:rsidP="007426FF"/>
    <w:p w:rsidR="007A25BE" w:rsidRPr="00CA5E08" w:rsidRDefault="007A25BE" w:rsidP="007426FF"/>
    <w:p w:rsidR="007426FF" w:rsidRDefault="00A008A3" w:rsidP="00EF4655">
      <w:pPr>
        <w:tabs>
          <w:tab w:val="left" w:pos="720"/>
        </w:tabs>
        <w:spacing w:line="480" w:lineRule="auto"/>
      </w:pPr>
      <w:r>
        <w:tab/>
        <w:t xml:space="preserve">As seen in Table 12, outrages committed by blacks—what we would today call black-on-black crime, was routinely punished, or, at least, the offender was arrested.  White on black </w:t>
      </w:r>
      <w:r>
        <w:lastRenderedPageBreak/>
        <w:t xml:space="preserve">outrages, however, were virtually never punished, even when authorities knew the identity of the perpetrator.  </w:t>
      </w:r>
      <w:r w:rsidR="007426FF">
        <w:t>This was true even when known white men murdered blacks, as seen in Table 13.</w:t>
      </w:r>
    </w:p>
    <w:p w:rsidR="00EF631F" w:rsidRDefault="00EF631F" w:rsidP="00EF4655">
      <w:pPr>
        <w:tabs>
          <w:tab w:val="left" w:pos="720"/>
        </w:tabs>
        <w:spacing w:line="480" w:lineRule="auto"/>
      </w:pPr>
    </w:p>
    <w:p w:rsidR="007426FF" w:rsidRPr="00CE56A6" w:rsidRDefault="007426FF" w:rsidP="00F85721">
      <w:pPr>
        <w:jc w:val="center"/>
        <w:rPr>
          <w:b/>
        </w:rPr>
      </w:pPr>
      <w:r w:rsidRPr="00CE56A6">
        <w:rPr>
          <w:b/>
        </w:rPr>
        <w:t>Table 13</w:t>
      </w:r>
    </w:p>
    <w:p w:rsidR="007426FF" w:rsidRPr="00CE56A6" w:rsidRDefault="007426FF" w:rsidP="00F85721">
      <w:pPr>
        <w:jc w:val="center"/>
        <w:rPr>
          <w:b/>
        </w:rPr>
      </w:pPr>
      <w:r w:rsidRPr="00CE56A6">
        <w:rPr>
          <w:b/>
        </w:rPr>
        <w:t>Percent Arrested by Race of Perpetrator (including groups) for Murders in Outrages Reported by Freedman's Bureau in Georgia, January-November 15, 1868 (N=119)</w:t>
      </w:r>
    </w:p>
    <w:p w:rsidR="007426FF" w:rsidRDefault="007426FF" w:rsidP="007426FF">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1080"/>
        <w:gridCol w:w="570"/>
        <w:gridCol w:w="1026"/>
        <w:gridCol w:w="570"/>
        <w:gridCol w:w="912"/>
      </w:tblGrid>
      <w:tr w:rsidR="007426FF" w:rsidTr="009D6382">
        <w:trPr>
          <w:jc w:val="center"/>
        </w:trPr>
        <w:tc>
          <w:tcPr>
            <w:tcW w:w="1163" w:type="dxa"/>
            <w:shd w:val="clear" w:color="auto" w:fill="auto"/>
          </w:tcPr>
          <w:p w:rsidR="007426FF" w:rsidRPr="00D15174" w:rsidRDefault="007426FF" w:rsidP="009D6382">
            <w:pPr>
              <w:jc w:val="center"/>
              <w:rPr>
                <w:b/>
              </w:rPr>
            </w:pPr>
          </w:p>
        </w:tc>
        <w:tc>
          <w:tcPr>
            <w:tcW w:w="1650" w:type="dxa"/>
            <w:gridSpan w:val="2"/>
            <w:shd w:val="clear" w:color="auto" w:fill="auto"/>
          </w:tcPr>
          <w:p w:rsidR="007426FF" w:rsidRPr="00D15174" w:rsidRDefault="007426FF" w:rsidP="009D6382">
            <w:pPr>
              <w:jc w:val="center"/>
              <w:rPr>
                <w:b/>
              </w:rPr>
            </w:pPr>
            <w:r w:rsidRPr="00D15174">
              <w:rPr>
                <w:b/>
              </w:rPr>
              <w:t>arrested</w:t>
            </w:r>
          </w:p>
        </w:tc>
        <w:tc>
          <w:tcPr>
            <w:tcW w:w="1596" w:type="dxa"/>
            <w:gridSpan w:val="2"/>
            <w:shd w:val="clear" w:color="auto" w:fill="auto"/>
          </w:tcPr>
          <w:p w:rsidR="007426FF" w:rsidRPr="00D15174" w:rsidRDefault="007426FF" w:rsidP="009D6382">
            <w:pPr>
              <w:jc w:val="center"/>
              <w:rPr>
                <w:b/>
              </w:rPr>
            </w:pPr>
            <w:r w:rsidRPr="00D15174">
              <w:rPr>
                <w:b/>
              </w:rPr>
              <w:t>not arrested</w:t>
            </w:r>
          </w:p>
        </w:tc>
        <w:tc>
          <w:tcPr>
            <w:tcW w:w="912" w:type="dxa"/>
            <w:shd w:val="clear" w:color="auto" w:fill="auto"/>
          </w:tcPr>
          <w:p w:rsidR="007426FF" w:rsidRPr="00D15174" w:rsidRDefault="007426FF" w:rsidP="009D6382">
            <w:pPr>
              <w:jc w:val="center"/>
              <w:rPr>
                <w:b/>
              </w:rPr>
            </w:pPr>
            <w:r w:rsidRPr="00D15174">
              <w:rPr>
                <w:b/>
              </w:rPr>
              <w:t>Total</w:t>
            </w:r>
          </w:p>
        </w:tc>
      </w:tr>
      <w:tr w:rsidR="007426FF" w:rsidTr="009D6382">
        <w:trPr>
          <w:jc w:val="center"/>
        </w:trPr>
        <w:tc>
          <w:tcPr>
            <w:tcW w:w="1163" w:type="dxa"/>
            <w:shd w:val="clear" w:color="auto" w:fill="auto"/>
          </w:tcPr>
          <w:p w:rsidR="007426FF" w:rsidRPr="00D15174" w:rsidRDefault="007426FF" w:rsidP="009D6382">
            <w:pPr>
              <w:jc w:val="center"/>
              <w:rPr>
                <w:b/>
              </w:rPr>
            </w:pPr>
            <w:r w:rsidRPr="00D15174">
              <w:rPr>
                <w:b/>
              </w:rPr>
              <w:t>race</w:t>
            </w:r>
          </w:p>
        </w:tc>
        <w:tc>
          <w:tcPr>
            <w:tcW w:w="1080" w:type="dxa"/>
            <w:shd w:val="clear" w:color="auto" w:fill="auto"/>
          </w:tcPr>
          <w:p w:rsidR="007426FF" w:rsidRPr="00D15174" w:rsidRDefault="00440491" w:rsidP="009D6382">
            <w:pPr>
              <w:jc w:val="center"/>
              <w:rPr>
                <w:b/>
              </w:rPr>
            </w:pPr>
            <w:r w:rsidRPr="00D15174">
              <w:rPr>
                <w:b/>
              </w:rPr>
              <w:t>P</w:t>
            </w:r>
            <w:r w:rsidR="007426FF" w:rsidRPr="00D15174">
              <w:rPr>
                <w:b/>
              </w:rPr>
              <w:t>ercent</w:t>
            </w:r>
          </w:p>
        </w:tc>
        <w:tc>
          <w:tcPr>
            <w:tcW w:w="570" w:type="dxa"/>
            <w:shd w:val="clear" w:color="auto" w:fill="auto"/>
          </w:tcPr>
          <w:p w:rsidR="007426FF" w:rsidRPr="00D15174" w:rsidRDefault="007426FF" w:rsidP="009D6382">
            <w:pPr>
              <w:jc w:val="center"/>
              <w:rPr>
                <w:b/>
              </w:rPr>
            </w:pPr>
            <w:r w:rsidRPr="00D15174">
              <w:rPr>
                <w:b/>
              </w:rPr>
              <w:t>N</w:t>
            </w:r>
          </w:p>
        </w:tc>
        <w:tc>
          <w:tcPr>
            <w:tcW w:w="1026" w:type="dxa"/>
            <w:shd w:val="clear" w:color="auto" w:fill="auto"/>
          </w:tcPr>
          <w:p w:rsidR="007426FF" w:rsidRPr="00D15174" w:rsidRDefault="007426FF" w:rsidP="009D6382">
            <w:pPr>
              <w:jc w:val="center"/>
              <w:rPr>
                <w:b/>
              </w:rPr>
            </w:pPr>
            <w:r w:rsidRPr="00D15174">
              <w:rPr>
                <w:b/>
              </w:rPr>
              <w:t>percent</w:t>
            </w:r>
          </w:p>
        </w:tc>
        <w:tc>
          <w:tcPr>
            <w:tcW w:w="570" w:type="dxa"/>
            <w:shd w:val="clear" w:color="auto" w:fill="auto"/>
          </w:tcPr>
          <w:p w:rsidR="007426FF" w:rsidRPr="00D15174" w:rsidRDefault="007426FF" w:rsidP="009D6382">
            <w:pPr>
              <w:jc w:val="center"/>
              <w:rPr>
                <w:b/>
              </w:rPr>
            </w:pPr>
            <w:r w:rsidRPr="00D15174">
              <w:rPr>
                <w:b/>
              </w:rPr>
              <w:t>N</w:t>
            </w:r>
          </w:p>
        </w:tc>
        <w:tc>
          <w:tcPr>
            <w:tcW w:w="912" w:type="dxa"/>
            <w:shd w:val="clear" w:color="auto" w:fill="auto"/>
          </w:tcPr>
          <w:p w:rsidR="007426FF" w:rsidRPr="00D15174" w:rsidRDefault="007426FF" w:rsidP="009D6382">
            <w:pPr>
              <w:jc w:val="center"/>
              <w:rPr>
                <w:b/>
              </w:rPr>
            </w:pPr>
          </w:p>
        </w:tc>
      </w:tr>
      <w:tr w:rsidR="007426FF" w:rsidTr="009D6382">
        <w:trPr>
          <w:jc w:val="center"/>
        </w:trPr>
        <w:tc>
          <w:tcPr>
            <w:tcW w:w="1163" w:type="dxa"/>
            <w:shd w:val="clear" w:color="auto" w:fill="auto"/>
          </w:tcPr>
          <w:p w:rsidR="007426FF" w:rsidRDefault="007426FF" w:rsidP="009D6382">
            <w:r>
              <w:t>Black</w:t>
            </w:r>
          </w:p>
        </w:tc>
        <w:tc>
          <w:tcPr>
            <w:tcW w:w="1080" w:type="dxa"/>
            <w:shd w:val="clear" w:color="auto" w:fill="auto"/>
          </w:tcPr>
          <w:p w:rsidR="007426FF" w:rsidRDefault="007426FF" w:rsidP="009D6382">
            <w:pPr>
              <w:jc w:val="right"/>
            </w:pPr>
            <w:r>
              <w:t>71%</w:t>
            </w:r>
          </w:p>
        </w:tc>
        <w:tc>
          <w:tcPr>
            <w:tcW w:w="570" w:type="dxa"/>
            <w:shd w:val="clear" w:color="auto" w:fill="auto"/>
          </w:tcPr>
          <w:p w:rsidR="007426FF" w:rsidRDefault="007426FF" w:rsidP="009D6382">
            <w:pPr>
              <w:jc w:val="right"/>
            </w:pPr>
            <w:r>
              <w:t>12</w:t>
            </w:r>
          </w:p>
        </w:tc>
        <w:tc>
          <w:tcPr>
            <w:tcW w:w="1026" w:type="dxa"/>
            <w:shd w:val="clear" w:color="auto" w:fill="auto"/>
          </w:tcPr>
          <w:p w:rsidR="007426FF" w:rsidRDefault="007426FF" w:rsidP="009D6382">
            <w:pPr>
              <w:jc w:val="right"/>
            </w:pPr>
            <w:r>
              <w:t>29%</w:t>
            </w:r>
          </w:p>
        </w:tc>
        <w:tc>
          <w:tcPr>
            <w:tcW w:w="570" w:type="dxa"/>
            <w:shd w:val="clear" w:color="auto" w:fill="auto"/>
          </w:tcPr>
          <w:p w:rsidR="007426FF" w:rsidRDefault="007426FF" w:rsidP="009D6382">
            <w:pPr>
              <w:jc w:val="right"/>
            </w:pPr>
            <w:r>
              <w:t>5</w:t>
            </w:r>
          </w:p>
        </w:tc>
        <w:tc>
          <w:tcPr>
            <w:tcW w:w="912" w:type="dxa"/>
            <w:shd w:val="clear" w:color="auto" w:fill="auto"/>
          </w:tcPr>
          <w:p w:rsidR="007426FF" w:rsidRDefault="007426FF" w:rsidP="009D6382">
            <w:pPr>
              <w:jc w:val="right"/>
            </w:pPr>
            <w:r>
              <w:t>17</w:t>
            </w:r>
          </w:p>
        </w:tc>
      </w:tr>
      <w:tr w:rsidR="007426FF" w:rsidTr="009D6382">
        <w:trPr>
          <w:jc w:val="center"/>
        </w:trPr>
        <w:tc>
          <w:tcPr>
            <w:tcW w:w="1163" w:type="dxa"/>
            <w:shd w:val="clear" w:color="auto" w:fill="auto"/>
          </w:tcPr>
          <w:p w:rsidR="007426FF" w:rsidRDefault="007426FF" w:rsidP="009D6382">
            <w:r>
              <w:t>White</w:t>
            </w:r>
          </w:p>
        </w:tc>
        <w:tc>
          <w:tcPr>
            <w:tcW w:w="1080" w:type="dxa"/>
            <w:shd w:val="clear" w:color="auto" w:fill="auto"/>
          </w:tcPr>
          <w:p w:rsidR="007426FF" w:rsidRDefault="007426FF" w:rsidP="009D6382">
            <w:pPr>
              <w:jc w:val="right"/>
            </w:pPr>
            <w:r>
              <w:t>7%</w:t>
            </w:r>
          </w:p>
        </w:tc>
        <w:tc>
          <w:tcPr>
            <w:tcW w:w="570" w:type="dxa"/>
            <w:shd w:val="clear" w:color="auto" w:fill="auto"/>
          </w:tcPr>
          <w:p w:rsidR="007426FF" w:rsidRDefault="007426FF" w:rsidP="009D6382">
            <w:pPr>
              <w:jc w:val="right"/>
            </w:pPr>
            <w:r>
              <w:t>4</w:t>
            </w:r>
          </w:p>
        </w:tc>
        <w:tc>
          <w:tcPr>
            <w:tcW w:w="1026" w:type="dxa"/>
            <w:shd w:val="clear" w:color="auto" w:fill="auto"/>
          </w:tcPr>
          <w:p w:rsidR="007426FF" w:rsidRDefault="007426FF" w:rsidP="009D6382">
            <w:pPr>
              <w:jc w:val="right"/>
            </w:pPr>
            <w:r>
              <w:t>93%</w:t>
            </w:r>
          </w:p>
        </w:tc>
        <w:tc>
          <w:tcPr>
            <w:tcW w:w="570" w:type="dxa"/>
            <w:shd w:val="clear" w:color="auto" w:fill="auto"/>
          </w:tcPr>
          <w:p w:rsidR="007426FF" w:rsidRDefault="007426FF" w:rsidP="009D6382">
            <w:pPr>
              <w:jc w:val="right"/>
            </w:pPr>
            <w:r>
              <w:t>53</w:t>
            </w:r>
          </w:p>
        </w:tc>
        <w:tc>
          <w:tcPr>
            <w:tcW w:w="912" w:type="dxa"/>
            <w:shd w:val="clear" w:color="auto" w:fill="auto"/>
          </w:tcPr>
          <w:p w:rsidR="007426FF" w:rsidRDefault="007426FF" w:rsidP="009D6382">
            <w:pPr>
              <w:jc w:val="right"/>
            </w:pPr>
            <w:r>
              <w:t>57</w:t>
            </w:r>
          </w:p>
        </w:tc>
      </w:tr>
      <w:tr w:rsidR="007426FF" w:rsidTr="009D6382">
        <w:trPr>
          <w:jc w:val="center"/>
        </w:trPr>
        <w:tc>
          <w:tcPr>
            <w:tcW w:w="1163" w:type="dxa"/>
            <w:shd w:val="clear" w:color="auto" w:fill="auto"/>
          </w:tcPr>
          <w:p w:rsidR="007426FF" w:rsidRDefault="007426FF" w:rsidP="009D6382">
            <w:r>
              <w:t>Unknown</w:t>
            </w:r>
          </w:p>
        </w:tc>
        <w:tc>
          <w:tcPr>
            <w:tcW w:w="1080" w:type="dxa"/>
            <w:shd w:val="clear" w:color="auto" w:fill="auto"/>
          </w:tcPr>
          <w:p w:rsidR="007426FF" w:rsidRDefault="007426FF" w:rsidP="009D6382">
            <w:pPr>
              <w:jc w:val="right"/>
            </w:pPr>
            <w:r>
              <w:t>11%</w:t>
            </w:r>
          </w:p>
        </w:tc>
        <w:tc>
          <w:tcPr>
            <w:tcW w:w="570" w:type="dxa"/>
            <w:shd w:val="clear" w:color="auto" w:fill="auto"/>
          </w:tcPr>
          <w:p w:rsidR="007426FF" w:rsidRDefault="007426FF" w:rsidP="009D6382">
            <w:pPr>
              <w:jc w:val="right"/>
            </w:pPr>
            <w:r>
              <w:t>5</w:t>
            </w:r>
          </w:p>
        </w:tc>
        <w:tc>
          <w:tcPr>
            <w:tcW w:w="1026" w:type="dxa"/>
            <w:shd w:val="clear" w:color="auto" w:fill="auto"/>
          </w:tcPr>
          <w:p w:rsidR="007426FF" w:rsidRDefault="007426FF" w:rsidP="009D6382">
            <w:pPr>
              <w:jc w:val="right"/>
            </w:pPr>
            <w:r>
              <w:t>89%</w:t>
            </w:r>
          </w:p>
        </w:tc>
        <w:tc>
          <w:tcPr>
            <w:tcW w:w="570" w:type="dxa"/>
            <w:shd w:val="clear" w:color="auto" w:fill="auto"/>
          </w:tcPr>
          <w:p w:rsidR="007426FF" w:rsidRDefault="007426FF" w:rsidP="009D6382">
            <w:pPr>
              <w:jc w:val="right"/>
            </w:pPr>
            <w:r>
              <w:t>40</w:t>
            </w:r>
          </w:p>
        </w:tc>
        <w:tc>
          <w:tcPr>
            <w:tcW w:w="912" w:type="dxa"/>
            <w:shd w:val="clear" w:color="auto" w:fill="auto"/>
          </w:tcPr>
          <w:p w:rsidR="007426FF" w:rsidRDefault="007426FF" w:rsidP="009D6382">
            <w:pPr>
              <w:jc w:val="right"/>
            </w:pPr>
            <w:r>
              <w:t>45</w:t>
            </w:r>
          </w:p>
        </w:tc>
      </w:tr>
      <w:tr w:rsidR="007426FF" w:rsidTr="009D6382">
        <w:trPr>
          <w:jc w:val="center"/>
        </w:trPr>
        <w:tc>
          <w:tcPr>
            <w:tcW w:w="1163" w:type="dxa"/>
            <w:shd w:val="clear" w:color="auto" w:fill="auto"/>
          </w:tcPr>
          <w:p w:rsidR="007426FF" w:rsidRDefault="007426FF" w:rsidP="009D6382">
            <w:r>
              <w:t>Total</w:t>
            </w:r>
          </w:p>
        </w:tc>
        <w:tc>
          <w:tcPr>
            <w:tcW w:w="1080" w:type="dxa"/>
            <w:shd w:val="clear" w:color="auto" w:fill="auto"/>
          </w:tcPr>
          <w:p w:rsidR="007426FF" w:rsidRDefault="007426FF" w:rsidP="009D6382">
            <w:pPr>
              <w:jc w:val="right"/>
            </w:pPr>
            <w:r>
              <w:t>18%</w:t>
            </w:r>
          </w:p>
        </w:tc>
        <w:tc>
          <w:tcPr>
            <w:tcW w:w="570" w:type="dxa"/>
            <w:shd w:val="clear" w:color="auto" w:fill="auto"/>
          </w:tcPr>
          <w:p w:rsidR="007426FF" w:rsidRDefault="007426FF" w:rsidP="009D6382">
            <w:pPr>
              <w:jc w:val="right"/>
            </w:pPr>
            <w:r>
              <w:t>21</w:t>
            </w:r>
          </w:p>
        </w:tc>
        <w:tc>
          <w:tcPr>
            <w:tcW w:w="1026" w:type="dxa"/>
            <w:shd w:val="clear" w:color="auto" w:fill="auto"/>
          </w:tcPr>
          <w:p w:rsidR="007426FF" w:rsidRDefault="007426FF" w:rsidP="009D6382">
            <w:pPr>
              <w:jc w:val="right"/>
            </w:pPr>
            <w:r>
              <w:t>82%</w:t>
            </w:r>
          </w:p>
        </w:tc>
        <w:tc>
          <w:tcPr>
            <w:tcW w:w="570" w:type="dxa"/>
            <w:shd w:val="clear" w:color="auto" w:fill="auto"/>
          </w:tcPr>
          <w:p w:rsidR="007426FF" w:rsidRDefault="007426FF" w:rsidP="009D6382">
            <w:pPr>
              <w:jc w:val="right"/>
            </w:pPr>
            <w:r>
              <w:t>98</w:t>
            </w:r>
          </w:p>
        </w:tc>
        <w:tc>
          <w:tcPr>
            <w:tcW w:w="912" w:type="dxa"/>
            <w:shd w:val="clear" w:color="auto" w:fill="auto"/>
          </w:tcPr>
          <w:p w:rsidR="007426FF" w:rsidRDefault="007426FF" w:rsidP="009D6382">
            <w:pPr>
              <w:jc w:val="right"/>
            </w:pPr>
            <w:r>
              <w:t>119</w:t>
            </w:r>
          </w:p>
        </w:tc>
      </w:tr>
    </w:tbl>
    <w:p w:rsidR="007426FF" w:rsidRDefault="007426FF" w:rsidP="007426FF">
      <w:pPr>
        <w:jc w:val="center"/>
      </w:pPr>
    </w:p>
    <w:p w:rsidR="007426FF" w:rsidRDefault="00B04C68" w:rsidP="007426FF">
      <w:r>
        <w:t xml:space="preserve">Source: Bureau of Refugees, Freedmen, and Abandoned Lands, </w:t>
      </w:r>
      <w:r w:rsidR="007426FF">
        <w:t xml:space="preserve">1868. </w:t>
      </w:r>
    </w:p>
    <w:p w:rsidR="004452D9" w:rsidRDefault="004452D9" w:rsidP="00582FD8">
      <w:pPr>
        <w:spacing w:line="480" w:lineRule="auto"/>
      </w:pPr>
    </w:p>
    <w:p w:rsidR="00582FD8" w:rsidRDefault="007426FF" w:rsidP="00582FD8">
      <w:pPr>
        <w:spacing w:line="480" w:lineRule="auto"/>
      </w:pPr>
      <w:r>
        <w:tab/>
        <w:t>The rational</w:t>
      </w:r>
      <w:r w:rsidR="00F906ED">
        <w:t>e</w:t>
      </w:r>
      <w:r w:rsidR="00906508">
        <w:t xml:space="preserve"> </w:t>
      </w:r>
      <w:r>
        <w:t>for these outrages, as seen in Table 14, was usually political.</w:t>
      </w:r>
      <w:r w:rsidR="00440491">
        <w:t xml:space="preserve">  </w:t>
      </w:r>
      <w:r w:rsidR="00582FD8" w:rsidRPr="00582FD8">
        <w:t xml:space="preserve">These included 26 events that were specifically reported as political, another 26 reported as an attempt to prevent a Republican meeting, another 20 associated with an election riot, and 23 more that were clearly political (e.g., voting Republican).  </w:t>
      </w:r>
      <w:r w:rsidR="00B04C68">
        <w:t>“Political” a</w:t>
      </w:r>
      <w:r w:rsidR="00582FD8" w:rsidRPr="00582FD8">
        <w:t xml:space="preserve">lso included </w:t>
      </w:r>
      <w:r w:rsidR="00B04C68" w:rsidRPr="00582FD8">
        <w:t>eight</w:t>
      </w:r>
      <w:r w:rsidR="00582FD8" w:rsidRPr="00582FD8">
        <w:t xml:space="preserve"> events reported as attempts to punish alleged crimes by freedmen—stealing (3), murder (2), trespass (1), rape (1), and harboring a fugitive (1), which are political only in the sense that the perpetrator is assuming the authority of government.  These </w:t>
      </w:r>
      <w:r w:rsidR="00B04C68">
        <w:t xml:space="preserve">events </w:t>
      </w:r>
      <w:r w:rsidR="00582FD8" w:rsidRPr="00582FD8">
        <w:t xml:space="preserve">are </w:t>
      </w:r>
      <w:r w:rsidR="00B04C68">
        <w:t xml:space="preserve">“political” in contrast to </w:t>
      </w:r>
      <w:r w:rsidR="00582FD8" w:rsidRPr="00582FD8">
        <w:t xml:space="preserve">the purely </w:t>
      </w:r>
      <w:r w:rsidR="00B04C68">
        <w:t>“</w:t>
      </w:r>
      <w:r w:rsidR="00582FD8" w:rsidRPr="00582FD8">
        <w:t>economic</w:t>
      </w:r>
      <w:r w:rsidR="00B04C68">
        <w:t xml:space="preserve">” </w:t>
      </w:r>
      <w:r w:rsidR="00582FD8" w:rsidRPr="00582FD8">
        <w:t>events associated, for example, with disputes over wages or crops.  The social rationale refers instead to quarrels, jealousy, and cases of alleged impudence and disobedience, insolence, disrespectful language, and similar rationales that were rooted in disputes about the social status of the freedman.  In one such case, a</w:t>
      </w:r>
      <w:r w:rsidR="00B04C68">
        <w:t xml:space="preserve">n employer whipped a </w:t>
      </w:r>
      <w:r w:rsidR="00582FD8" w:rsidRPr="00582FD8">
        <w:t>freedman for claiming the right of whipping his own child, rather than deferring to his employer.</w:t>
      </w:r>
    </w:p>
    <w:p w:rsidR="00EF631F" w:rsidRDefault="00EF631F" w:rsidP="00582FD8">
      <w:pPr>
        <w:spacing w:line="480" w:lineRule="auto"/>
      </w:pPr>
    </w:p>
    <w:p w:rsidR="00F977A5" w:rsidRPr="00CE56A6" w:rsidRDefault="00CE56A6">
      <w:pPr>
        <w:jc w:val="center"/>
        <w:rPr>
          <w:b/>
        </w:rPr>
      </w:pPr>
      <w:r w:rsidRPr="00CE56A6">
        <w:rPr>
          <w:b/>
        </w:rPr>
        <w:t>Table 14</w:t>
      </w:r>
    </w:p>
    <w:p w:rsidR="00F977A5" w:rsidRPr="00CE56A6" w:rsidRDefault="00F977A5" w:rsidP="00F977A5">
      <w:pPr>
        <w:jc w:val="center"/>
        <w:rPr>
          <w:b/>
        </w:rPr>
      </w:pPr>
      <w:r w:rsidRPr="00CE56A6">
        <w:rPr>
          <w:b/>
        </w:rPr>
        <w:t xml:space="preserve">Rationale for Outrages Reported by Freedman's Bureau in Georgia, </w:t>
      </w:r>
    </w:p>
    <w:p w:rsidR="00F977A5" w:rsidRPr="00CE56A6" w:rsidRDefault="00F977A5" w:rsidP="00F977A5">
      <w:pPr>
        <w:jc w:val="center"/>
        <w:rPr>
          <w:b/>
        </w:rPr>
      </w:pPr>
      <w:r w:rsidRPr="00CE56A6">
        <w:rPr>
          <w:b/>
        </w:rPr>
        <w:t>January-November 15, 1868 (N=355)</w:t>
      </w:r>
    </w:p>
    <w:p w:rsidR="00F977A5" w:rsidRDefault="00F977A5" w:rsidP="00F977A5">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4"/>
        <w:gridCol w:w="989"/>
        <w:gridCol w:w="901"/>
      </w:tblGrid>
      <w:tr w:rsidR="00F977A5" w:rsidTr="004E28C0">
        <w:trPr>
          <w:jc w:val="center"/>
        </w:trPr>
        <w:tc>
          <w:tcPr>
            <w:tcW w:w="1644" w:type="dxa"/>
            <w:shd w:val="clear" w:color="auto" w:fill="auto"/>
          </w:tcPr>
          <w:p w:rsidR="00F977A5" w:rsidRPr="00D15174" w:rsidRDefault="00440491" w:rsidP="004E28C0">
            <w:pPr>
              <w:jc w:val="center"/>
              <w:rPr>
                <w:b/>
              </w:rPr>
            </w:pPr>
            <w:r w:rsidRPr="00D15174">
              <w:rPr>
                <w:b/>
              </w:rPr>
              <w:t>R</w:t>
            </w:r>
            <w:r w:rsidR="00F977A5" w:rsidRPr="00D15174">
              <w:rPr>
                <w:b/>
              </w:rPr>
              <w:t>ationale</w:t>
            </w:r>
          </w:p>
        </w:tc>
        <w:tc>
          <w:tcPr>
            <w:tcW w:w="989" w:type="dxa"/>
            <w:shd w:val="clear" w:color="auto" w:fill="auto"/>
          </w:tcPr>
          <w:p w:rsidR="00F977A5" w:rsidRPr="00D15174" w:rsidRDefault="00F977A5" w:rsidP="004E28C0">
            <w:pPr>
              <w:jc w:val="center"/>
              <w:rPr>
                <w:b/>
              </w:rPr>
            </w:pPr>
            <w:r w:rsidRPr="00D15174">
              <w:rPr>
                <w:b/>
              </w:rPr>
              <w:t>percent</w:t>
            </w:r>
          </w:p>
        </w:tc>
        <w:tc>
          <w:tcPr>
            <w:tcW w:w="901" w:type="dxa"/>
            <w:shd w:val="clear" w:color="auto" w:fill="auto"/>
          </w:tcPr>
          <w:p w:rsidR="00F977A5" w:rsidRPr="00D15174" w:rsidRDefault="00F977A5" w:rsidP="004E28C0">
            <w:pPr>
              <w:jc w:val="center"/>
              <w:rPr>
                <w:b/>
              </w:rPr>
            </w:pPr>
            <w:r w:rsidRPr="00D15174">
              <w:rPr>
                <w:b/>
              </w:rPr>
              <w:t>N</w:t>
            </w:r>
          </w:p>
        </w:tc>
      </w:tr>
      <w:tr w:rsidR="00F977A5" w:rsidTr="004E28C0">
        <w:trPr>
          <w:jc w:val="center"/>
        </w:trPr>
        <w:tc>
          <w:tcPr>
            <w:tcW w:w="1644" w:type="dxa"/>
            <w:shd w:val="clear" w:color="auto" w:fill="auto"/>
          </w:tcPr>
          <w:p w:rsidR="00F977A5" w:rsidRDefault="00F977A5" w:rsidP="004E28C0">
            <w:r>
              <w:t>Political</w:t>
            </w:r>
          </w:p>
        </w:tc>
        <w:tc>
          <w:tcPr>
            <w:tcW w:w="989" w:type="dxa"/>
            <w:shd w:val="clear" w:color="auto" w:fill="auto"/>
          </w:tcPr>
          <w:p w:rsidR="00F977A5" w:rsidRDefault="00F977A5" w:rsidP="004E28C0">
            <w:pPr>
              <w:jc w:val="right"/>
            </w:pPr>
            <w:r>
              <w:t>29%</w:t>
            </w:r>
          </w:p>
        </w:tc>
        <w:tc>
          <w:tcPr>
            <w:tcW w:w="901" w:type="dxa"/>
            <w:shd w:val="clear" w:color="auto" w:fill="auto"/>
          </w:tcPr>
          <w:p w:rsidR="00F977A5" w:rsidRDefault="00F977A5" w:rsidP="004E28C0">
            <w:pPr>
              <w:jc w:val="right"/>
            </w:pPr>
            <w:r>
              <w:t>103</w:t>
            </w:r>
          </w:p>
        </w:tc>
      </w:tr>
      <w:tr w:rsidR="00F977A5" w:rsidTr="004E28C0">
        <w:trPr>
          <w:jc w:val="center"/>
        </w:trPr>
        <w:tc>
          <w:tcPr>
            <w:tcW w:w="1644" w:type="dxa"/>
            <w:shd w:val="clear" w:color="auto" w:fill="auto"/>
          </w:tcPr>
          <w:p w:rsidR="00F977A5" w:rsidRDefault="00F977A5" w:rsidP="004E28C0">
            <w:r>
              <w:t>Blank/missing</w:t>
            </w:r>
          </w:p>
        </w:tc>
        <w:tc>
          <w:tcPr>
            <w:tcW w:w="989" w:type="dxa"/>
            <w:shd w:val="clear" w:color="auto" w:fill="auto"/>
          </w:tcPr>
          <w:p w:rsidR="00F977A5" w:rsidRDefault="00F977A5" w:rsidP="004E28C0">
            <w:pPr>
              <w:jc w:val="right"/>
            </w:pPr>
            <w:r>
              <w:t>25%</w:t>
            </w:r>
          </w:p>
        </w:tc>
        <w:tc>
          <w:tcPr>
            <w:tcW w:w="901" w:type="dxa"/>
            <w:shd w:val="clear" w:color="auto" w:fill="auto"/>
          </w:tcPr>
          <w:p w:rsidR="00F977A5" w:rsidRDefault="00F977A5" w:rsidP="004E28C0">
            <w:pPr>
              <w:jc w:val="right"/>
            </w:pPr>
            <w:r>
              <w:t>87</w:t>
            </w:r>
          </w:p>
        </w:tc>
      </w:tr>
      <w:tr w:rsidR="00F977A5" w:rsidTr="004E28C0">
        <w:trPr>
          <w:jc w:val="center"/>
        </w:trPr>
        <w:tc>
          <w:tcPr>
            <w:tcW w:w="1644" w:type="dxa"/>
            <w:shd w:val="clear" w:color="auto" w:fill="auto"/>
          </w:tcPr>
          <w:p w:rsidR="00F977A5" w:rsidRDefault="00F977A5" w:rsidP="004E28C0">
            <w:r>
              <w:t>Unknown</w:t>
            </w:r>
          </w:p>
        </w:tc>
        <w:tc>
          <w:tcPr>
            <w:tcW w:w="989" w:type="dxa"/>
            <w:shd w:val="clear" w:color="auto" w:fill="auto"/>
          </w:tcPr>
          <w:p w:rsidR="00F977A5" w:rsidRDefault="00F977A5" w:rsidP="004E28C0">
            <w:pPr>
              <w:jc w:val="right"/>
            </w:pPr>
            <w:r>
              <w:t>19%</w:t>
            </w:r>
          </w:p>
        </w:tc>
        <w:tc>
          <w:tcPr>
            <w:tcW w:w="901" w:type="dxa"/>
            <w:shd w:val="clear" w:color="auto" w:fill="auto"/>
          </w:tcPr>
          <w:p w:rsidR="00F977A5" w:rsidRDefault="00F977A5" w:rsidP="004E28C0">
            <w:pPr>
              <w:jc w:val="right"/>
            </w:pPr>
            <w:r>
              <w:t>67</w:t>
            </w:r>
          </w:p>
        </w:tc>
      </w:tr>
      <w:tr w:rsidR="00F977A5" w:rsidTr="004E28C0">
        <w:trPr>
          <w:jc w:val="center"/>
        </w:trPr>
        <w:tc>
          <w:tcPr>
            <w:tcW w:w="1644" w:type="dxa"/>
            <w:shd w:val="clear" w:color="auto" w:fill="auto"/>
          </w:tcPr>
          <w:p w:rsidR="00F977A5" w:rsidRDefault="00F977A5" w:rsidP="004E28C0">
            <w:r>
              <w:t>Unprovoked</w:t>
            </w:r>
          </w:p>
        </w:tc>
        <w:tc>
          <w:tcPr>
            <w:tcW w:w="989" w:type="dxa"/>
            <w:shd w:val="clear" w:color="auto" w:fill="auto"/>
          </w:tcPr>
          <w:p w:rsidR="00F977A5" w:rsidRDefault="00F977A5" w:rsidP="004E28C0">
            <w:pPr>
              <w:jc w:val="right"/>
            </w:pPr>
            <w:r>
              <w:t>11%</w:t>
            </w:r>
          </w:p>
        </w:tc>
        <w:tc>
          <w:tcPr>
            <w:tcW w:w="901" w:type="dxa"/>
            <w:shd w:val="clear" w:color="auto" w:fill="auto"/>
          </w:tcPr>
          <w:p w:rsidR="00F977A5" w:rsidRDefault="00F977A5" w:rsidP="004E28C0">
            <w:pPr>
              <w:jc w:val="right"/>
            </w:pPr>
            <w:r>
              <w:t>39</w:t>
            </w:r>
          </w:p>
        </w:tc>
      </w:tr>
      <w:tr w:rsidR="00F977A5" w:rsidTr="004E28C0">
        <w:trPr>
          <w:jc w:val="center"/>
        </w:trPr>
        <w:tc>
          <w:tcPr>
            <w:tcW w:w="1644" w:type="dxa"/>
            <w:shd w:val="clear" w:color="auto" w:fill="auto"/>
          </w:tcPr>
          <w:p w:rsidR="00F977A5" w:rsidRDefault="00F977A5" w:rsidP="004E28C0">
            <w:r>
              <w:t>Social</w:t>
            </w:r>
          </w:p>
        </w:tc>
        <w:tc>
          <w:tcPr>
            <w:tcW w:w="989" w:type="dxa"/>
            <w:shd w:val="clear" w:color="auto" w:fill="auto"/>
          </w:tcPr>
          <w:p w:rsidR="00F977A5" w:rsidRDefault="00F977A5" w:rsidP="004E28C0">
            <w:pPr>
              <w:jc w:val="right"/>
            </w:pPr>
            <w:r>
              <w:t>10%</w:t>
            </w:r>
          </w:p>
        </w:tc>
        <w:tc>
          <w:tcPr>
            <w:tcW w:w="901" w:type="dxa"/>
            <w:shd w:val="clear" w:color="auto" w:fill="auto"/>
          </w:tcPr>
          <w:p w:rsidR="00F977A5" w:rsidRDefault="00F977A5" w:rsidP="004E28C0">
            <w:pPr>
              <w:jc w:val="right"/>
            </w:pPr>
            <w:r>
              <w:t>35</w:t>
            </w:r>
          </w:p>
        </w:tc>
      </w:tr>
      <w:tr w:rsidR="00F977A5" w:rsidTr="004E28C0">
        <w:trPr>
          <w:jc w:val="center"/>
        </w:trPr>
        <w:tc>
          <w:tcPr>
            <w:tcW w:w="1644" w:type="dxa"/>
            <w:shd w:val="clear" w:color="auto" w:fill="auto"/>
          </w:tcPr>
          <w:p w:rsidR="00F977A5" w:rsidRDefault="00F977A5" w:rsidP="004E28C0">
            <w:r>
              <w:t>Economic</w:t>
            </w:r>
          </w:p>
        </w:tc>
        <w:tc>
          <w:tcPr>
            <w:tcW w:w="989" w:type="dxa"/>
            <w:shd w:val="clear" w:color="auto" w:fill="auto"/>
          </w:tcPr>
          <w:p w:rsidR="00F977A5" w:rsidRDefault="00F977A5" w:rsidP="004E28C0">
            <w:pPr>
              <w:jc w:val="right"/>
            </w:pPr>
            <w:r>
              <w:t>7%</w:t>
            </w:r>
          </w:p>
        </w:tc>
        <w:tc>
          <w:tcPr>
            <w:tcW w:w="901" w:type="dxa"/>
            <w:shd w:val="clear" w:color="auto" w:fill="auto"/>
          </w:tcPr>
          <w:p w:rsidR="00F977A5" w:rsidRDefault="00F977A5" w:rsidP="004E28C0">
            <w:pPr>
              <w:jc w:val="right"/>
            </w:pPr>
            <w:r>
              <w:t>24</w:t>
            </w:r>
          </w:p>
        </w:tc>
      </w:tr>
      <w:tr w:rsidR="00F977A5" w:rsidTr="004E28C0">
        <w:trPr>
          <w:jc w:val="center"/>
        </w:trPr>
        <w:tc>
          <w:tcPr>
            <w:tcW w:w="1644" w:type="dxa"/>
            <w:shd w:val="clear" w:color="auto" w:fill="auto"/>
          </w:tcPr>
          <w:p w:rsidR="00F977A5" w:rsidRDefault="00F977A5" w:rsidP="004E28C0">
            <w:r>
              <w:t>Total</w:t>
            </w:r>
          </w:p>
        </w:tc>
        <w:tc>
          <w:tcPr>
            <w:tcW w:w="989" w:type="dxa"/>
            <w:shd w:val="clear" w:color="auto" w:fill="auto"/>
          </w:tcPr>
          <w:p w:rsidR="00F977A5" w:rsidRDefault="00F977A5" w:rsidP="004E28C0">
            <w:pPr>
              <w:jc w:val="right"/>
            </w:pPr>
            <w:r>
              <w:t>100%</w:t>
            </w:r>
          </w:p>
        </w:tc>
        <w:tc>
          <w:tcPr>
            <w:tcW w:w="901" w:type="dxa"/>
            <w:shd w:val="clear" w:color="auto" w:fill="auto"/>
          </w:tcPr>
          <w:p w:rsidR="00F977A5" w:rsidRDefault="00F977A5" w:rsidP="004E28C0">
            <w:pPr>
              <w:jc w:val="right"/>
            </w:pPr>
            <w:r>
              <w:t>355</w:t>
            </w:r>
          </w:p>
        </w:tc>
      </w:tr>
    </w:tbl>
    <w:p w:rsidR="00F977A5" w:rsidRDefault="00F977A5" w:rsidP="00F977A5">
      <w:pPr>
        <w:jc w:val="center"/>
      </w:pPr>
    </w:p>
    <w:p w:rsidR="00F977A5" w:rsidRDefault="00B04C68" w:rsidP="00F977A5">
      <w:r>
        <w:t xml:space="preserve">Source: Bureau of Refugees, Freedmen, and Abandoned Lands, </w:t>
      </w:r>
      <w:r w:rsidR="00F977A5">
        <w:t xml:space="preserve">1868. </w:t>
      </w:r>
    </w:p>
    <w:p w:rsidR="00F85721" w:rsidRDefault="00F85721" w:rsidP="00582FD8">
      <w:pPr>
        <w:spacing w:line="480" w:lineRule="auto"/>
      </w:pPr>
    </w:p>
    <w:p w:rsidR="004974AE" w:rsidRDefault="00582FD8" w:rsidP="00582FD8">
      <w:pPr>
        <w:spacing w:line="480" w:lineRule="auto"/>
      </w:pPr>
      <w:r>
        <w:tab/>
        <w:t xml:space="preserve">The best examples </w:t>
      </w:r>
      <w:r w:rsidR="00F85721">
        <w:t>of politically motivated outrages are the election riot in Savannah and the Camilla Massacre.</w:t>
      </w:r>
      <w:r>
        <w:t xml:space="preserve"> </w:t>
      </w:r>
      <w:r w:rsidR="00F85721">
        <w:t xml:space="preserve"> The riot </w:t>
      </w:r>
      <w:r>
        <w:t>in Savannah</w:t>
      </w:r>
      <w:r w:rsidR="00F85721">
        <w:t xml:space="preserve"> was during the voting </w:t>
      </w:r>
      <w:r>
        <w:t xml:space="preserve">for the </w:t>
      </w:r>
      <w:r w:rsidR="004974AE">
        <w:t xml:space="preserve">November 1868 </w:t>
      </w:r>
      <w:r>
        <w:t>Presidential election</w:t>
      </w:r>
      <w:r w:rsidR="004974AE">
        <w:t xml:space="preserve"> (which </w:t>
      </w:r>
      <w:r>
        <w:t>U. S. Grant</w:t>
      </w:r>
      <w:r w:rsidR="004974AE">
        <w:t xml:space="preserve"> won nationally, but not in Georgia)</w:t>
      </w:r>
      <w:r>
        <w:t xml:space="preserve">.  </w:t>
      </w:r>
      <w:r w:rsidR="00F85721">
        <w:t xml:space="preserve">In Savannah, </w:t>
      </w:r>
      <w:r>
        <w:t xml:space="preserve">railroad workers assaulted black voters, essentially driving them from the polls.  </w:t>
      </w:r>
      <w:r w:rsidR="00022453">
        <w:t>At least three people were killed</w:t>
      </w:r>
      <w:r w:rsidR="00F85721">
        <w:t>,</w:t>
      </w:r>
      <w:r w:rsidR="00022453">
        <w:t xml:space="preserve"> and at least 15 more wounded, although the Bureau report is confusing, and the newspaper report—which blames the blacks for coming to town armed and looking for trouble, is unclear (</w:t>
      </w:r>
      <w:r w:rsidR="0066335A">
        <w:rPr>
          <w:i/>
        </w:rPr>
        <w:t xml:space="preserve">Daily News and Herald </w:t>
      </w:r>
      <w:r w:rsidR="0066335A">
        <w:t>1868a)</w:t>
      </w:r>
      <w:r w:rsidR="00022453">
        <w:t xml:space="preserve">. </w:t>
      </w:r>
    </w:p>
    <w:p w:rsidR="007C090E" w:rsidRDefault="00582FD8" w:rsidP="004974AE">
      <w:pPr>
        <w:spacing w:line="480" w:lineRule="auto"/>
        <w:ind w:firstLine="720"/>
      </w:pPr>
      <w:r>
        <w:t xml:space="preserve">Better known is the Camilla Massacre, in which a local sheriff led the posse that prevented local Blacks from organizing a </w:t>
      </w:r>
      <w:r w:rsidR="0066335A">
        <w:t xml:space="preserve">local </w:t>
      </w:r>
      <w:r>
        <w:t>Republican Party.</w:t>
      </w:r>
      <w:r w:rsidR="004974AE">
        <w:t xml:space="preserve">  According to the Bureau report, a posse led by the County Sheriff shot and killed ten persons on 19 September 1868, “at or near Camilla mostly by gunshots.”  There were also 14 persons injured and another taken from his house the following day by “distinguished white men” and mortally wounded.  The Bureau agent identified the sheriff and two other men by name and concluded</w:t>
      </w:r>
      <w:r w:rsidR="007C090E">
        <w:t xml:space="preserve"> as follows.</w:t>
      </w:r>
    </w:p>
    <w:p w:rsidR="00F85721" w:rsidRDefault="00F85721" w:rsidP="00EF4655">
      <w:pPr>
        <w:ind w:left="720" w:right="720"/>
      </w:pPr>
    </w:p>
    <w:p w:rsidR="00582FD8" w:rsidRDefault="007C090E" w:rsidP="00EF4655">
      <w:pPr>
        <w:ind w:left="720" w:right="720"/>
      </w:pPr>
      <w:r>
        <w:t>The names of a great many wounded persons could not be ascertained by the Bureau</w:t>
      </w:r>
      <w:r w:rsidR="004974AE">
        <w:t>.</w:t>
      </w:r>
      <w:r>
        <w:t xml:space="preserve">  The perpetrators of these acts were John W. P. </w:t>
      </w:r>
      <w:proofErr w:type="spellStart"/>
      <w:r>
        <w:t>Poore</w:t>
      </w:r>
      <w:proofErr w:type="spellEnd"/>
      <w:r>
        <w:t xml:space="preserve">, Sheriff of Mitchell County, Adam </w:t>
      </w:r>
      <w:proofErr w:type="spellStart"/>
      <w:r>
        <w:t>Bullett</w:t>
      </w:r>
      <w:proofErr w:type="spellEnd"/>
      <w:r>
        <w:t xml:space="preserve"> and others, all white, cause determination on their part to prevent a Republican meeting at Camilla and to punish the parties who</w:t>
      </w:r>
      <w:r w:rsidR="00733F39">
        <w:t xml:space="preserve"> would make an effort to do so.</w:t>
      </w:r>
    </w:p>
    <w:p w:rsidR="00733F39" w:rsidRDefault="00733F39" w:rsidP="00EF4655">
      <w:pPr>
        <w:ind w:left="720" w:right="720"/>
      </w:pPr>
    </w:p>
    <w:p w:rsidR="00F85721" w:rsidRDefault="00F85721" w:rsidP="00EF4655">
      <w:pPr>
        <w:ind w:left="720" w:right="720"/>
      </w:pPr>
    </w:p>
    <w:p w:rsidR="00C4342C" w:rsidRDefault="00C4342C" w:rsidP="00582FD8">
      <w:pPr>
        <w:spacing w:line="480" w:lineRule="auto"/>
      </w:pPr>
      <w:r>
        <w:tab/>
      </w:r>
      <w:r w:rsidR="00D93ECC">
        <w:t>T</w:t>
      </w:r>
      <w:r>
        <w:t xml:space="preserve">hese </w:t>
      </w:r>
      <w:r w:rsidR="007B5AF4">
        <w:t>we</w:t>
      </w:r>
      <w:r>
        <w:t>re not “</w:t>
      </w:r>
      <w:r w:rsidR="007B5AF4">
        <w:t>vigilante</w:t>
      </w:r>
      <w:r>
        <w:t>”</w:t>
      </w:r>
      <w:r w:rsidR="00D93ECC">
        <w:t xml:space="preserve"> events in the Western tradition.</w:t>
      </w:r>
      <w:r>
        <w:t xml:space="preserve">  </w:t>
      </w:r>
      <w:r w:rsidR="007B5AF4">
        <w:t xml:space="preserve">Neither were they much like Southern lynching events of the antebellum or Populist/Progressive Era.  </w:t>
      </w:r>
      <w:r>
        <w:t xml:space="preserve">The Savannah incident </w:t>
      </w:r>
      <w:r w:rsidR="0066335A">
        <w:t>wa</w:t>
      </w:r>
      <w:r>
        <w:t>s an election riot—typical in Ante</w:t>
      </w:r>
      <w:r w:rsidR="002E4AB0">
        <w:t>bellum America</w:t>
      </w:r>
      <w:r>
        <w:t xml:space="preserve">, even outside the South (see </w:t>
      </w:r>
      <w:proofErr w:type="spellStart"/>
      <w:r>
        <w:t>Bensel</w:t>
      </w:r>
      <w:proofErr w:type="spellEnd"/>
      <w:r>
        <w:t xml:space="preserve"> in Hogan 2011).  The Camilla Massacre </w:t>
      </w:r>
      <w:r w:rsidR="0066335A">
        <w:t>wa</w:t>
      </w:r>
      <w:r>
        <w:t xml:space="preserve">s a paramilitary (posse) effort to defend law (or custom) in denying the vote to blacks or Republicans.  This </w:t>
      </w:r>
      <w:r w:rsidR="0066335A">
        <w:t>wa</w:t>
      </w:r>
      <w:r>
        <w:t xml:space="preserve">s just a somewhat excessive version of oppressive (as opposed to hegemonic) partisanship.  These two events would qualify by </w:t>
      </w:r>
      <w:proofErr w:type="spellStart"/>
      <w:r>
        <w:t>Tolnay</w:t>
      </w:r>
      <w:proofErr w:type="spellEnd"/>
      <w:r>
        <w:t xml:space="preserve"> and Beck criteria—murder by three or more people in defens</w:t>
      </w:r>
      <w:r w:rsidR="007B5AF4">
        <w:t>e of law or tradition (</w:t>
      </w:r>
      <w:r>
        <w:t>Bailey</w:t>
      </w:r>
      <w:r w:rsidR="007B5AF4">
        <w:t xml:space="preserve"> and </w:t>
      </w:r>
      <w:proofErr w:type="spellStart"/>
      <w:r w:rsidR="007B5AF4">
        <w:t>Snedker</w:t>
      </w:r>
      <w:proofErr w:type="spellEnd"/>
      <w:r w:rsidR="007B5AF4">
        <w:t xml:space="preserve"> 2011, p. 845</w:t>
      </w:r>
      <w:r>
        <w:t xml:space="preserve">).  </w:t>
      </w:r>
      <w:r w:rsidR="00D93ECC">
        <w:t>T</w:t>
      </w:r>
      <w:r>
        <w:t xml:space="preserve">here </w:t>
      </w:r>
      <w:r w:rsidR="0066335A">
        <w:t>wa</w:t>
      </w:r>
      <w:r>
        <w:t xml:space="preserve">s no defiance of local authority, </w:t>
      </w:r>
      <w:r w:rsidR="00D93ECC">
        <w:t xml:space="preserve">however, </w:t>
      </w:r>
      <w:r>
        <w:t>particularly in Camilla, but even in Savannah, where local authorities turned a blind eye</w:t>
      </w:r>
      <w:r w:rsidR="00D93ECC">
        <w:t>.   T</w:t>
      </w:r>
      <w:r>
        <w:t xml:space="preserve">he </w:t>
      </w:r>
      <w:r w:rsidR="00D93ECC">
        <w:t xml:space="preserve">Savannah </w:t>
      </w:r>
      <w:r>
        <w:t xml:space="preserve">newspaper claimed that </w:t>
      </w:r>
      <w:r w:rsidR="00D93ECC">
        <w:t>the</w:t>
      </w:r>
      <w:r>
        <w:t xml:space="preserve"> black voters came to town looking for a fight.</w:t>
      </w:r>
      <w:r w:rsidR="00D93ECC">
        <w:t xml:space="preserve">  So let us examine another case, where the same editor recognized that a lynching had occurred, in this case, in</w:t>
      </w:r>
      <w:r w:rsidR="00C64473">
        <w:t xml:space="preserve"> Pulaski County</w:t>
      </w:r>
      <w:r w:rsidR="00AB3709">
        <w:t xml:space="preserve"> (reported in </w:t>
      </w:r>
      <w:r w:rsidR="0026738E">
        <w:t xml:space="preserve">the </w:t>
      </w:r>
      <w:r w:rsidR="00AB3709">
        <w:t>Savannah</w:t>
      </w:r>
      <w:r w:rsidR="0026738E">
        <w:t xml:space="preserve"> </w:t>
      </w:r>
      <w:r w:rsidR="0026738E">
        <w:rPr>
          <w:i/>
        </w:rPr>
        <w:t>Daily News and Herald</w:t>
      </w:r>
      <w:r w:rsidR="0026738E">
        <w:t xml:space="preserve"> 1872)</w:t>
      </w:r>
      <w:r w:rsidR="00D93ECC">
        <w:t>.</w:t>
      </w:r>
    </w:p>
    <w:p w:rsidR="00C64473" w:rsidRDefault="00C64473" w:rsidP="00582FD8">
      <w:pPr>
        <w:spacing w:line="480" w:lineRule="auto"/>
      </w:pPr>
    </w:p>
    <w:p w:rsidR="00602E03" w:rsidRDefault="00602E03" w:rsidP="00C64473">
      <w:pPr>
        <w:ind w:left="720" w:right="720"/>
        <w:jc w:val="center"/>
        <w:rPr>
          <w:b/>
        </w:rPr>
      </w:pPr>
      <w:r w:rsidRPr="00C64473">
        <w:rPr>
          <w:b/>
        </w:rPr>
        <w:t>A Fiendish Outrage in Pulas</w:t>
      </w:r>
      <w:r w:rsidR="00C64473">
        <w:rPr>
          <w:b/>
        </w:rPr>
        <w:t>ki County</w:t>
      </w:r>
    </w:p>
    <w:p w:rsidR="0066335A" w:rsidRDefault="0066335A" w:rsidP="00C64473">
      <w:pPr>
        <w:ind w:left="720" w:right="720"/>
        <w:jc w:val="center"/>
        <w:rPr>
          <w:b/>
        </w:rPr>
      </w:pPr>
    </w:p>
    <w:p w:rsidR="00C64473" w:rsidRDefault="00C64473" w:rsidP="00C64473">
      <w:pPr>
        <w:ind w:left="720" w:right="720"/>
        <w:jc w:val="center"/>
        <w:rPr>
          <w:b/>
        </w:rPr>
      </w:pPr>
      <w:r>
        <w:rPr>
          <w:b/>
        </w:rPr>
        <w:t>Judge Lynch Administers Justice</w:t>
      </w:r>
    </w:p>
    <w:p w:rsidR="00C64473" w:rsidRPr="00C64473" w:rsidRDefault="00C64473" w:rsidP="00C64473">
      <w:pPr>
        <w:ind w:left="720" w:right="720"/>
        <w:jc w:val="center"/>
        <w:rPr>
          <w:b/>
        </w:rPr>
      </w:pPr>
    </w:p>
    <w:p w:rsidR="00C64473" w:rsidRDefault="00C64473" w:rsidP="00C64473">
      <w:pPr>
        <w:ind w:left="720" w:right="720"/>
      </w:pPr>
      <w:r>
        <w:t>[</w:t>
      </w:r>
      <w:proofErr w:type="gramStart"/>
      <w:r>
        <w:t>reprinted</w:t>
      </w:r>
      <w:proofErr w:type="gramEnd"/>
      <w:r>
        <w:t xml:space="preserve"> from the Hawkinsville </w:t>
      </w:r>
      <w:r>
        <w:rPr>
          <w:i/>
        </w:rPr>
        <w:t>Dispatch</w:t>
      </w:r>
      <w:r>
        <w:t xml:space="preserve">] On Thursday last a monstrous crime was committed on a white married lady ... An account of the outrage (correct so far as it goes) has already appeared in the Macon </w:t>
      </w:r>
      <w:r>
        <w:rPr>
          <w:i/>
        </w:rPr>
        <w:t>Telegraph</w:t>
      </w:r>
      <w:r>
        <w:t xml:space="preserve"> [</w:t>
      </w:r>
      <w:r w:rsidR="0066335A">
        <w:t xml:space="preserve">but </w:t>
      </w:r>
      <w:r>
        <w:t>now we want to give full details].</w:t>
      </w:r>
    </w:p>
    <w:p w:rsidR="00C64473" w:rsidRDefault="00C64473" w:rsidP="00C64473">
      <w:pPr>
        <w:ind w:left="720" w:right="720"/>
      </w:pPr>
    </w:p>
    <w:p w:rsidR="009779A8" w:rsidRDefault="00C64473" w:rsidP="00C64473">
      <w:pPr>
        <w:ind w:left="720" w:right="720"/>
      </w:pPr>
      <w:r>
        <w:lastRenderedPageBreak/>
        <w:t xml:space="preserve">Joe Phillips, a stout </w:t>
      </w:r>
      <w:proofErr w:type="gramStart"/>
      <w:r>
        <w:t>negro</w:t>
      </w:r>
      <w:proofErr w:type="gramEnd"/>
      <w:r>
        <w:t xml:space="preserve"> about twenty-one years old, went to the house </w:t>
      </w:r>
      <w:r w:rsidR="0066335A">
        <w:t>o</w:t>
      </w:r>
      <w:r>
        <w:t>f Mr. Charlton Lovett</w:t>
      </w:r>
      <w:r w:rsidR="009779A8">
        <w:t xml:space="preserve"> (for whom he was working) and demanded food of Mrs. Lovett.  </w:t>
      </w:r>
      <w:proofErr w:type="spellStart"/>
      <w:r w:rsidR="009779A8">
        <w:t>Mrs</w:t>
      </w:r>
      <w:proofErr w:type="spellEnd"/>
      <w:r w:rsidR="009779A8">
        <w:t xml:space="preserve"> L. proceeded to comply with his request, when she was seized by the fiend and compelled to yield to his criminal and hellish desires.</w:t>
      </w:r>
      <w:r>
        <w:t xml:space="preserve"> </w:t>
      </w:r>
      <w:r w:rsidR="009779A8">
        <w:t>…</w:t>
      </w:r>
    </w:p>
    <w:p w:rsidR="009779A8" w:rsidRDefault="009779A8" w:rsidP="00C64473">
      <w:pPr>
        <w:ind w:left="720" w:right="720"/>
      </w:pPr>
    </w:p>
    <w:p w:rsidR="009779A8" w:rsidRDefault="009779A8" w:rsidP="00C64473">
      <w:pPr>
        <w:ind w:left="720" w:right="720"/>
      </w:pPr>
      <w:r>
        <w:t>He immediately fled.  The alarm was given, and pursuit mad</w:t>
      </w:r>
      <w:r w:rsidR="007D415E">
        <w:t>e</w:t>
      </w:r>
      <w:r>
        <w:t xml:space="preserve"> by several of Mr. Lovett’s neighbors. … He was taken and was being brought to Hawkinsville, but made his escape at the lower bridge on Big Creek, by jumping from a high point. [</w:t>
      </w:r>
      <w:proofErr w:type="gramStart"/>
      <w:r>
        <w:t>his</w:t>
      </w:r>
      <w:proofErr w:type="gramEnd"/>
      <w:r>
        <w:t xml:space="preserve"> captors fired a shotgun and others attempted to sho</w:t>
      </w:r>
      <w:r w:rsidR="007D415E">
        <w:t>o</w:t>
      </w:r>
      <w:r>
        <w:t>t</w:t>
      </w:r>
      <w:r w:rsidR="007D415E">
        <w:t xml:space="preserve"> him</w:t>
      </w:r>
      <w:r>
        <w:t>].  A few hours afterwards a large number of men from town and vicinity were hunting him. …</w:t>
      </w:r>
    </w:p>
    <w:p w:rsidR="009779A8" w:rsidRDefault="009779A8" w:rsidP="00C64473">
      <w:pPr>
        <w:ind w:left="720" w:right="720"/>
      </w:pPr>
    </w:p>
    <w:p w:rsidR="00FD0E49" w:rsidRDefault="009779A8" w:rsidP="009779A8">
      <w:pPr>
        <w:tabs>
          <w:tab w:val="left" w:pos="5408"/>
        </w:tabs>
        <w:ind w:left="720" w:right="720"/>
      </w:pPr>
      <w:r>
        <w:t xml:space="preserve"> He was pursued a short distance by Marshal </w:t>
      </w:r>
      <w:proofErr w:type="spellStart"/>
      <w:r>
        <w:t>Partin</w:t>
      </w:r>
      <w:proofErr w:type="spellEnd"/>
      <w:r>
        <w:t xml:space="preserve">, but escaped [again]. [Still later, he was pursued to the plantation of Mr. Baldwin Jones, who joined the posse].  </w:t>
      </w:r>
      <w:r w:rsidR="00FD0E49">
        <w:t xml:space="preserve">He caught hold of the </w:t>
      </w:r>
      <w:proofErr w:type="gramStart"/>
      <w:r w:rsidR="00FD0E49">
        <w:t>negro</w:t>
      </w:r>
      <w:proofErr w:type="gramEnd"/>
      <w:r w:rsidR="00FD0E49">
        <w:t xml:space="preserve"> and claimed him as a prisoner.  The </w:t>
      </w:r>
      <w:proofErr w:type="gramStart"/>
      <w:r w:rsidR="00FD0E49">
        <w:t>negro</w:t>
      </w:r>
      <w:proofErr w:type="gramEnd"/>
      <w:r w:rsidR="00FD0E49">
        <w:t xml:space="preserve"> resisted and Mr. Jones drew his pistol.  [</w:t>
      </w:r>
      <w:proofErr w:type="gramStart"/>
      <w:r w:rsidR="00FD0E49">
        <w:t>after</w:t>
      </w:r>
      <w:proofErr w:type="gramEnd"/>
      <w:r w:rsidR="00FD0E49">
        <w:t xml:space="preserve"> a scuffle and at least one missed shot, Jones shot Phillips in the arm], and the negro rolled over as if dead.  He was soon on his feet, however, and from thence was brought to Hawkinsville and placed in jail.  The party reached here about eight o’clock on Friday night.</w:t>
      </w:r>
    </w:p>
    <w:p w:rsidR="00FD0E49" w:rsidRDefault="00FD0E49" w:rsidP="009779A8">
      <w:pPr>
        <w:tabs>
          <w:tab w:val="left" w:pos="5408"/>
        </w:tabs>
        <w:ind w:left="720" w:right="720"/>
      </w:pPr>
    </w:p>
    <w:p w:rsidR="009779A8" w:rsidRDefault="00FD0E49" w:rsidP="00FD0E49">
      <w:pPr>
        <w:tabs>
          <w:tab w:val="left" w:pos="5408"/>
        </w:tabs>
        <w:ind w:left="720" w:right="720"/>
        <w:jc w:val="center"/>
      </w:pPr>
      <w:r>
        <w:t>THE PRISONER TAKEN OUT FOR TRIAL</w:t>
      </w:r>
    </w:p>
    <w:p w:rsidR="00FD0E49" w:rsidRDefault="00FD0E49" w:rsidP="00FD0E49">
      <w:pPr>
        <w:tabs>
          <w:tab w:val="left" w:pos="5408"/>
        </w:tabs>
        <w:ind w:left="720" w:right="720"/>
        <w:jc w:val="center"/>
      </w:pPr>
    </w:p>
    <w:p w:rsidR="00FD0E49" w:rsidRDefault="00FD0E49" w:rsidP="00FD0E49">
      <w:pPr>
        <w:tabs>
          <w:tab w:val="left" w:pos="5408"/>
        </w:tabs>
        <w:ind w:left="720" w:right="720"/>
      </w:pPr>
      <w:r>
        <w:t xml:space="preserve">On Saturday afternoon citizens of the district in which the crime was committed called for the prisoner, and he was turned over to them by Sheriff </w:t>
      </w:r>
      <w:proofErr w:type="spellStart"/>
      <w:r>
        <w:t>Fulghum</w:t>
      </w:r>
      <w:proofErr w:type="spellEnd"/>
      <w:r>
        <w:t>.  He was to be taken before the Magistrate of the District in which he lived [but he only made it as far as the bridge over the river], where a large number of citizens (said to be from seventy-five to two hundred) from various parts of the county had gathered.”</w:t>
      </w:r>
    </w:p>
    <w:p w:rsidR="00FD0E49" w:rsidRDefault="00FD0E49" w:rsidP="00FD0E49">
      <w:pPr>
        <w:tabs>
          <w:tab w:val="left" w:pos="5408"/>
        </w:tabs>
        <w:ind w:left="720" w:right="720"/>
        <w:jc w:val="center"/>
      </w:pPr>
      <w:r>
        <w:t>THE HANGING</w:t>
      </w:r>
    </w:p>
    <w:p w:rsidR="008A3735" w:rsidRPr="00250603" w:rsidRDefault="00BB4BD8" w:rsidP="007A25BE">
      <w:pPr>
        <w:ind w:right="720"/>
        <w:jc w:val="center"/>
      </w:pPr>
      <w:r>
        <w:rPr>
          <w:noProof/>
        </w:rPr>
        <w:drawing>
          <wp:inline distT="0" distB="0" distL="0" distR="0" wp14:anchorId="38BCBD47" wp14:editId="3BB612A0">
            <wp:extent cx="3299877"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e_Phillip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9877" cy="2743200"/>
                    </a:xfrm>
                    <a:prstGeom prst="rect">
                      <a:avLst/>
                    </a:prstGeom>
                  </pic:spPr>
                </pic:pic>
              </a:graphicData>
            </a:graphic>
          </wp:inline>
        </w:drawing>
      </w:r>
    </w:p>
    <w:p w:rsidR="00E63380" w:rsidRDefault="00AB3709" w:rsidP="00AB3709">
      <w:pPr>
        <w:spacing w:line="480" w:lineRule="auto"/>
        <w:ind w:firstLine="720"/>
      </w:pPr>
      <w:r>
        <w:lastRenderedPageBreak/>
        <w:t>This was a vigilante hanging in the finest Western tradition, except that the victim was black.  It had few of the elements of the Georgia lynching of 1899 or of the antebellum Southern lynching.  It was more like th</w:t>
      </w:r>
      <w:r w:rsidR="0026738E">
        <w:t>e hanging of the city councilor</w:t>
      </w:r>
      <w:r>
        <w:t>, a member of the horse-thieving gang, in Denver in 1860, although there were more spectators and the collusion of the “established authorities” was much more apparent in this Georgia hanging in 1872.</w:t>
      </w:r>
      <w:r w:rsidR="00E63380">
        <w:t xml:space="preserve">  Also, the representation of the act and the actor—a “fiend” who was “more brute than human” was a particularly Southern characterization of Freedmen.</w:t>
      </w:r>
    </w:p>
    <w:p w:rsidR="008E3577" w:rsidRDefault="008E3577" w:rsidP="00F85721">
      <w:pPr>
        <w:spacing w:line="480" w:lineRule="auto"/>
        <w:rPr>
          <w:u w:val="single"/>
        </w:rPr>
      </w:pPr>
    </w:p>
    <w:p w:rsidR="00F85721" w:rsidRPr="00F85721" w:rsidRDefault="00F85721" w:rsidP="00F85721">
      <w:pPr>
        <w:spacing w:line="480" w:lineRule="auto"/>
        <w:rPr>
          <w:u w:val="single"/>
        </w:rPr>
      </w:pPr>
      <w:r w:rsidRPr="00F85721">
        <w:rPr>
          <w:u w:val="single"/>
        </w:rPr>
        <w:t>Perspectives on Outrages</w:t>
      </w:r>
    </w:p>
    <w:p w:rsidR="00E63380" w:rsidRDefault="008E3577" w:rsidP="00AB3709">
      <w:pPr>
        <w:spacing w:line="480" w:lineRule="auto"/>
        <w:ind w:firstLine="720"/>
      </w:pPr>
      <w:r>
        <w:t>W</w:t>
      </w:r>
      <w:r w:rsidR="00E63380">
        <w:t xml:space="preserve">e now </w:t>
      </w:r>
      <w:r>
        <w:t xml:space="preserve">retreat </w:t>
      </w:r>
      <w:r w:rsidR="00E63380">
        <w:t xml:space="preserve">from the details of the 355 outrages reported by the Freedmen’s Bureau in 1868 </w:t>
      </w:r>
      <w:r w:rsidR="00F85721">
        <w:t xml:space="preserve">to </w:t>
      </w:r>
      <w:r>
        <w:t>compare Bureau and Savannah newspaper</w:t>
      </w:r>
      <w:r w:rsidR="00E210E8">
        <w:t xml:space="preserve"> reports</w:t>
      </w:r>
      <w:r w:rsidR="00E63380">
        <w:t>.  Both Bureau and newspaper were partisans fighting a battle of words to maintain or capture control of Georgia between 1868 and 1872.  In 1868</w:t>
      </w:r>
      <w:r w:rsidR="002353BF">
        <w:t>,</w:t>
      </w:r>
      <w:r w:rsidR="00E63380">
        <w:t xml:space="preserve"> the Bureau </w:t>
      </w:r>
      <w:r w:rsidR="00977476">
        <w:t xml:space="preserve">claimed </w:t>
      </w:r>
      <w:r w:rsidR="00E63380">
        <w:t>control, briefly relinquished after the elections in 1868 but then reasserted in 1869 and finally relinquished after the elections of 1870-1871.</w:t>
      </w:r>
    </w:p>
    <w:p w:rsidR="00AB3709" w:rsidRDefault="00E63380" w:rsidP="00AB3709">
      <w:pPr>
        <w:spacing w:line="480" w:lineRule="auto"/>
        <w:ind w:firstLine="720"/>
      </w:pPr>
      <w:r>
        <w:t>Reports of outrages and the hearings of the Ku Klux Klan Committee (the congressional investigations surrounding the Force Bill, usually call</w:t>
      </w:r>
      <w:r w:rsidR="00EF631F">
        <w:t>ed</w:t>
      </w:r>
      <w:r>
        <w:t xml:space="preserve"> the KKK bill) were context for the battle of words</w:t>
      </w:r>
      <w:r w:rsidR="002353BF">
        <w:t>.  Words were</w:t>
      </w:r>
      <w:r>
        <w:t xml:space="preserve"> used to describe the deeds of partisans, both Republican and Democratic, who used violence, including private coercion, relying on </w:t>
      </w:r>
      <w:r w:rsidR="002353BF">
        <w:t xml:space="preserve">citizen militia </w:t>
      </w:r>
      <w:r>
        <w:t xml:space="preserve">or nightriders of various stripes, including the Klan, which accounted for fifteen of the outrages reported in Georgia 1868.  </w:t>
      </w:r>
    </w:p>
    <w:p w:rsidR="002729DB" w:rsidRPr="00AB3709" w:rsidRDefault="00D266B7" w:rsidP="00D266B7">
      <w:pPr>
        <w:spacing w:line="480" w:lineRule="auto"/>
        <w:ind w:firstLine="720"/>
        <w:jc w:val="center"/>
      </w:pPr>
      <w:r>
        <w:rPr>
          <w:noProof/>
        </w:rPr>
        <w:lastRenderedPageBreak/>
        <w:drawing>
          <wp:inline distT="0" distB="0" distL="0" distR="0" wp14:anchorId="52177D2B" wp14:editId="6A29B402">
            <wp:extent cx="3106406" cy="73181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N_Darien_1868.jpg"/>
                    <pic:cNvPicPr/>
                  </pic:nvPicPr>
                  <pic:blipFill>
                    <a:blip r:embed="rId12">
                      <a:extLst>
                        <a:ext uri="{28A0092B-C50C-407E-A947-70E740481C1C}">
                          <a14:useLocalDpi xmlns:a14="http://schemas.microsoft.com/office/drawing/2010/main" val="0"/>
                        </a:ext>
                      </a:extLst>
                    </a:blip>
                    <a:stretch>
                      <a:fillRect/>
                    </a:stretch>
                  </pic:blipFill>
                  <pic:spPr>
                    <a:xfrm>
                      <a:off x="0" y="0"/>
                      <a:ext cx="3106406" cy="7318158"/>
                    </a:xfrm>
                    <a:prstGeom prst="rect">
                      <a:avLst/>
                    </a:prstGeom>
                  </pic:spPr>
                </pic:pic>
              </a:graphicData>
            </a:graphic>
          </wp:inline>
        </w:drawing>
      </w:r>
    </w:p>
    <w:p w:rsidR="007F070B" w:rsidRDefault="007F070B" w:rsidP="007F070B">
      <w:pPr>
        <w:spacing w:line="480" w:lineRule="auto"/>
        <w:ind w:firstLine="720"/>
        <w:rPr>
          <w:i/>
        </w:rPr>
      </w:pPr>
      <w:r>
        <w:t xml:space="preserve">Source: Savannah </w:t>
      </w:r>
      <w:r>
        <w:rPr>
          <w:i/>
        </w:rPr>
        <w:t>Daily News and Herald 22 June 1868, p. 1</w:t>
      </w:r>
    </w:p>
    <w:p w:rsidR="00144AD0" w:rsidRDefault="00144AD0" w:rsidP="007F070B">
      <w:pPr>
        <w:spacing w:line="480" w:lineRule="auto"/>
        <w:ind w:firstLine="720"/>
      </w:pPr>
      <w:r>
        <w:lastRenderedPageBreak/>
        <w:t>The newspaper editor attempted to focus attention on the coercive violence wielded by Freedmen, particularly in the Radical Republican town of Darien, where Justice (and State Senator) Tunis G. Campbell was willing to arrest British sea captains who abused their authority and imposed physical punishment or coercion on their black crews.</w:t>
      </w:r>
    </w:p>
    <w:p w:rsidR="00144AD0" w:rsidRPr="00144AD0" w:rsidRDefault="00144AD0" w:rsidP="007F070B">
      <w:pPr>
        <w:spacing w:line="480" w:lineRule="auto"/>
        <w:ind w:firstLine="720"/>
      </w:pPr>
    </w:p>
    <w:p w:rsidR="0083497D" w:rsidRDefault="00C03C03" w:rsidP="00F54F97">
      <w:pPr>
        <w:spacing w:line="480" w:lineRule="auto"/>
        <w:ind w:firstLine="720"/>
        <w:jc w:val="center"/>
      </w:pPr>
      <w:r>
        <w:rPr>
          <w:noProof/>
        </w:rPr>
        <w:drawing>
          <wp:inline distT="0" distB="0" distL="0" distR="0" wp14:anchorId="5CEBA550" wp14:editId="5731E02D">
            <wp:extent cx="3429000" cy="462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 Map Lynching 1868.jpg"/>
                    <pic:cNvPicPr/>
                  </pic:nvPicPr>
                  <pic:blipFill rotWithShape="1">
                    <a:blip r:embed="rId13">
                      <a:extLst>
                        <a:ext uri="{28A0092B-C50C-407E-A947-70E740481C1C}">
                          <a14:useLocalDpi xmlns:a14="http://schemas.microsoft.com/office/drawing/2010/main" val="0"/>
                        </a:ext>
                      </a:extLst>
                    </a:blip>
                    <a:srcRect l="4915" t="5955" r="37393" b="5457"/>
                    <a:stretch/>
                  </pic:blipFill>
                  <pic:spPr bwMode="auto">
                    <a:xfrm>
                      <a:off x="0" y="0"/>
                      <a:ext cx="3429000" cy="4629150"/>
                    </a:xfrm>
                    <a:prstGeom prst="rect">
                      <a:avLst/>
                    </a:prstGeom>
                    <a:ln>
                      <a:noFill/>
                    </a:ln>
                    <a:extLst>
                      <a:ext uri="{53640926-AAD7-44D8-BBD7-CCE9431645EC}">
                        <a14:shadowObscured xmlns:a14="http://schemas.microsoft.com/office/drawing/2010/main"/>
                      </a:ext>
                    </a:extLst>
                  </pic:spPr>
                </pic:pic>
              </a:graphicData>
            </a:graphic>
          </wp:inline>
        </w:drawing>
      </w:r>
    </w:p>
    <w:p w:rsidR="0083497D" w:rsidRPr="0083497D" w:rsidRDefault="0083497D" w:rsidP="00F54F97">
      <w:pPr>
        <w:spacing w:line="480" w:lineRule="auto"/>
        <w:ind w:firstLine="720"/>
        <w:jc w:val="center"/>
      </w:pPr>
    </w:p>
    <w:p w:rsidR="00F54F97" w:rsidRDefault="00CD2F55">
      <w:pPr>
        <w:spacing w:line="480" w:lineRule="auto"/>
      </w:pPr>
      <w:r>
        <w:tab/>
        <w:t xml:space="preserve">As seen in this map of Georgia Counties, if we limit our attention to murders committed by three or more persons (the </w:t>
      </w:r>
      <w:proofErr w:type="spellStart"/>
      <w:r>
        <w:t>Tolnay</w:t>
      </w:r>
      <w:proofErr w:type="spellEnd"/>
      <w:r>
        <w:t xml:space="preserve"> and Beck (1995) definition of lynching), the lynching detailed in the 1868 report of the Freedmen’s Bureau was not in the heart of Radical Republican </w:t>
      </w:r>
      <w:r>
        <w:lastRenderedPageBreak/>
        <w:t>partisanship (in Darien, seat of McIntosh County).  Neither was lynching concentrated in the old cotton belt, as indicated here in the map of black population by county.</w:t>
      </w:r>
    </w:p>
    <w:p w:rsidR="00144AD0" w:rsidRDefault="00144AD0">
      <w:pPr>
        <w:spacing w:line="480" w:lineRule="auto"/>
      </w:pPr>
    </w:p>
    <w:p w:rsidR="00CD2F55" w:rsidRDefault="00CD2F55" w:rsidP="00144AD0">
      <w:pPr>
        <w:spacing w:line="480" w:lineRule="auto"/>
        <w:jc w:val="center"/>
      </w:pPr>
      <w:r w:rsidRPr="00CD2F55">
        <w:rPr>
          <w:noProof/>
        </w:rPr>
        <w:drawing>
          <wp:inline distT="0" distB="0" distL="0" distR="0" wp14:anchorId="53BAB85A" wp14:editId="3D3F4550">
            <wp:extent cx="4500748" cy="604454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4">
                      <a:extLst>
                        <a:ext uri="{28A0092B-C50C-407E-A947-70E740481C1C}">
                          <a14:useLocalDpi xmlns:a14="http://schemas.microsoft.com/office/drawing/2010/main" val="0"/>
                        </a:ext>
                      </a:extLst>
                    </a:blip>
                    <a:srcRect l="7626" t="5891" r="7369" b="5893"/>
                    <a:stretch/>
                  </pic:blipFill>
                  <pic:spPr bwMode="auto">
                    <a:xfrm>
                      <a:off x="0" y="0"/>
                      <a:ext cx="4504735" cy="6049895"/>
                    </a:xfrm>
                    <a:prstGeom prst="rect">
                      <a:avLst/>
                    </a:prstGeom>
                    <a:ln>
                      <a:noFill/>
                    </a:ln>
                    <a:extLst>
                      <a:ext uri="{53640926-AAD7-44D8-BBD7-CCE9431645EC}">
                        <a14:shadowObscured xmlns:a14="http://schemas.microsoft.com/office/drawing/2010/main"/>
                      </a:ext>
                    </a:extLst>
                  </pic:spPr>
                </pic:pic>
              </a:graphicData>
            </a:graphic>
          </wp:inline>
        </w:drawing>
      </w:r>
    </w:p>
    <w:p w:rsidR="00144AD0" w:rsidRDefault="00144AD0" w:rsidP="00F54F97">
      <w:pPr>
        <w:spacing w:line="480" w:lineRule="auto"/>
        <w:ind w:left="720" w:firstLine="720"/>
      </w:pPr>
    </w:p>
    <w:p w:rsidR="00CD2F55" w:rsidRDefault="000F47B0" w:rsidP="00F54F97">
      <w:pPr>
        <w:spacing w:line="480" w:lineRule="auto"/>
        <w:ind w:left="720" w:firstLine="720"/>
      </w:pPr>
      <w:r>
        <w:lastRenderedPageBreak/>
        <w:t xml:space="preserve">Instead, </w:t>
      </w:r>
      <w:r w:rsidR="00445D0A">
        <w:t xml:space="preserve">lynching </w:t>
      </w:r>
      <w:r>
        <w:t>tended to proliferate at the border of the black belt.</w:t>
      </w:r>
      <w:r w:rsidR="00F54F97">
        <w:t xml:space="preserve">  The same was true of outrages, more generally.</w:t>
      </w:r>
    </w:p>
    <w:p w:rsidR="00144AD0" w:rsidRDefault="00144AD0" w:rsidP="00F54F97">
      <w:pPr>
        <w:spacing w:line="480" w:lineRule="auto"/>
        <w:ind w:left="720" w:firstLine="720"/>
      </w:pPr>
    </w:p>
    <w:p w:rsidR="00CD2F55" w:rsidRDefault="005005BA" w:rsidP="007A25BE">
      <w:pPr>
        <w:spacing w:line="480" w:lineRule="auto"/>
        <w:ind w:firstLine="720"/>
        <w:jc w:val="center"/>
      </w:pPr>
      <w:r>
        <w:rPr>
          <w:noProof/>
        </w:rPr>
        <w:drawing>
          <wp:inline distT="0" distB="0" distL="0" distR="0">
            <wp:extent cx="4855464" cy="6519672"/>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rages 1868 Georgia.jpg"/>
                    <pic:cNvPicPr/>
                  </pic:nvPicPr>
                  <pic:blipFill rotWithShape="1">
                    <a:blip r:embed="rId15">
                      <a:extLst>
                        <a:ext uri="{28A0092B-C50C-407E-A947-70E740481C1C}">
                          <a14:useLocalDpi xmlns:a14="http://schemas.microsoft.com/office/drawing/2010/main" val="0"/>
                        </a:ext>
                      </a:extLst>
                    </a:blip>
                    <a:srcRect l="7789" t="6172" r="7134" b="5556"/>
                    <a:stretch/>
                  </pic:blipFill>
                  <pic:spPr bwMode="auto">
                    <a:xfrm>
                      <a:off x="0" y="0"/>
                      <a:ext cx="4855464" cy="6519672"/>
                    </a:xfrm>
                    <a:prstGeom prst="rect">
                      <a:avLst/>
                    </a:prstGeom>
                    <a:ln>
                      <a:noFill/>
                    </a:ln>
                    <a:extLst>
                      <a:ext uri="{53640926-AAD7-44D8-BBD7-CCE9431645EC}">
                        <a14:shadowObscured xmlns:a14="http://schemas.microsoft.com/office/drawing/2010/main"/>
                      </a:ext>
                    </a:extLst>
                  </pic:spPr>
                </pic:pic>
              </a:graphicData>
            </a:graphic>
          </wp:inline>
        </w:drawing>
      </w:r>
    </w:p>
    <w:p w:rsidR="007A25BE" w:rsidRDefault="007A25BE" w:rsidP="007A25BE">
      <w:pPr>
        <w:spacing w:line="480" w:lineRule="auto"/>
        <w:ind w:firstLine="720"/>
        <w:jc w:val="center"/>
      </w:pPr>
    </w:p>
    <w:p w:rsidR="00790E5F" w:rsidRDefault="00F54F97" w:rsidP="00790E5F">
      <w:pPr>
        <w:spacing w:line="480" w:lineRule="auto"/>
        <w:ind w:firstLine="720"/>
      </w:pPr>
      <w:r>
        <w:t xml:space="preserve">This contradicts local newspaper accounts.  </w:t>
      </w:r>
      <w:r w:rsidR="00790E5F">
        <w:t xml:space="preserve">Campbell’s McIntosh County domain was the scene of Negro outrages or KKK actions, as reported by the Savannah </w:t>
      </w:r>
      <w:r w:rsidR="00AF0D11">
        <w:t>editor.  He claimed that these N</w:t>
      </w:r>
      <w:r w:rsidR="00790E5F">
        <w:t xml:space="preserve">egroes were to blame for the disorder and violence.  At worst, white Klansmen and vigilantes were only defending themselves.  The </w:t>
      </w:r>
      <w:r w:rsidR="00996DAE">
        <w:t xml:space="preserve">Freedmen’s </w:t>
      </w:r>
      <w:r w:rsidR="00790E5F">
        <w:t xml:space="preserve">Bureau </w:t>
      </w:r>
      <w:r w:rsidR="00996DAE">
        <w:t xml:space="preserve">took </w:t>
      </w:r>
      <w:r w:rsidR="00790E5F">
        <w:t>a different view.  They reported outrages elsewhere—none in Darien or in other such areas where blacks were secure in their property and persons.</w:t>
      </w:r>
    </w:p>
    <w:p w:rsidR="00906508" w:rsidRDefault="00906508" w:rsidP="00893217">
      <w:pPr>
        <w:keepNext/>
        <w:spacing w:line="480" w:lineRule="auto"/>
        <w:rPr>
          <w:u w:val="single"/>
        </w:rPr>
      </w:pPr>
    </w:p>
    <w:p w:rsidR="00C55620" w:rsidRPr="00895AC2" w:rsidRDefault="00895AC2" w:rsidP="00893217">
      <w:pPr>
        <w:keepNext/>
        <w:spacing w:line="480" w:lineRule="auto"/>
        <w:rPr>
          <w:u w:val="single"/>
        </w:rPr>
      </w:pPr>
      <w:r w:rsidRPr="00895AC2">
        <w:rPr>
          <w:u w:val="single"/>
        </w:rPr>
        <w:t xml:space="preserve">Toward a Theory of Lynching </w:t>
      </w:r>
    </w:p>
    <w:p w:rsidR="000F47B0" w:rsidRDefault="00C55620" w:rsidP="004A3950">
      <w:pPr>
        <w:spacing w:line="480" w:lineRule="auto"/>
      </w:pPr>
      <w:r w:rsidRPr="00C55620">
        <w:tab/>
      </w:r>
      <w:r w:rsidR="00893217">
        <w:t xml:space="preserve">A lynching is a </w:t>
      </w:r>
      <w:r w:rsidR="00906508">
        <w:t>“</w:t>
      </w:r>
      <w:r w:rsidR="00893217">
        <w:t>contentious gathering</w:t>
      </w:r>
      <w:r w:rsidR="00906508">
        <w:t>:</w:t>
      </w:r>
      <w:r w:rsidR="00C647D2">
        <w:t>”</w:t>
      </w:r>
      <w:r w:rsidR="00906508">
        <w:t xml:space="preserve"> defined as</w:t>
      </w:r>
      <w:r w:rsidR="00893217">
        <w:t xml:space="preserve"> </w:t>
      </w:r>
      <w:r w:rsidR="00C647D2">
        <w:t xml:space="preserve">collective action </w:t>
      </w:r>
      <w:r w:rsidR="00893217">
        <w:t>in which ten (or, for present purposes, three) or more people gather to make a claim which, if realized, would affect other</w:t>
      </w:r>
      <w:r w:rsidR="004A3950">
        <w:t>s</w:t>
      </w:r>
      <w:r w:rsidR="00893217">
        <w:t xml:space="preserve"> outside of themselves</w:t>
      </w:r>
      <w:r w:rsidR="004A3950">
        <w:t xml:space="preserve">.  </w:t>
      </w:r>
      <w:r w:rsidR="00893217">
        <w:t xml:space="preserve"> </w:t>
      </w:r>
      <w:r w:rsidR="004A3950">
        <w:t>Such claims are political when they entail</w:t>
      </w:r>
      <w:r w:rsidR="00893217">
        <w:t xml:space="preserve"> the exercise of governing authority—a claim upon or claim to or appeal to governing authority (the right to make binding decisions within a polity or population of actors and actions, usually restricted by geographical bounds).  </w:t>
      </w:r>
      <w:r w:rsidR="00C647D2">
        <w:t xml:space="preserve">Vigilantism is a contentious gathering that is political and in which </w:t>
      </w:r>
      <w:r w:rsidR="004A3950">
        <w:t xml:space="preserve">a group </w:t>
      </w:r>
      <w:r w:rsidR="00893217">
        <w:t xml:space="preserve">acts as judge, jury and executioner </w:t>
      </w:r>
      <w:r w:rsidR="004A3950">
        <w:t>in defiance of established authority</w:t>
      </w:r>
      <w:r w:rsidR="000F47B0">
        <w:t xml:space="preserve">.  </w:t>
      </w:r>
    </w:p>
    <w:p w:rsidR="004A3950" w:rsidRDefault="000F47B0" w:rsidP="000F47B0">
      <w:pPr>
        <w:spacing w:line="480" w:lineRule="auto"/>
        <w:ind w:firstLine="720"/>
      </w:pPr>
      <w:r>
        <w:t>This is true in theory</w:t>
      </w:r>
      <w:r w:rsidR="004A3950">
        <w:t xml:space="preserve">, although much of what passes as vigilantism seems to occur with the implicit approval of local authority, as an adjunct, in Denver in 1860, to the actions of the People’s Court.  Here vigilantism </w:t>
      </w:r>
      <w:r w:rsidR="006F3E4B">
        <w:t>wa</w:t>
      </w:r>
      <w:r w:rsidR="004A3950">
        <w:t>s a temporary resort to private justice where the public syste</w:t>
      </w:r>
      <w:r w:rsidR="006F3E4B">
        <w:t>m appeared</w:t>
      </w:r>
      <w:r w:rsidR="004A3950">
        <w:t xml:space="preserve"> to be inadequate, because the People’s Court </w:t>
      </w:r>
      <w:r w:rsidR="006F3E4B">
        <w:t>wa</w:t>
      </w:r>
      <w:r w:rsidR="004A3950">
        <w:t xml:space="preserve">s specialized in hanging murderers while the official </w:t>
      </w:r>
      <w:r w:rsidR="002353BF">
        <w:t>government of Kansas Territory wa</w:t>
      </w:r>
      <w:r w:rsidR="004A3950">
        <w:t>s ineffective a</w:t>
      </w:r>
      <w:r w:rsidR="00E210E8">
        <w:t>nd the elected local officials we</w:t>
      </w:r>
      <w:r w:rsidR="004A3950">
        <w:t xml:space="preserve">re part of the problem (one councilor </w:t>
      </w:r>
      <w:r w:rsidR="002353BF">
        <w:t>wa</w:t>
      </w:r>
      <w:r w:rsidR="004A3950">
        <w:t xml:space="preserve">s a horse thief).  </w:t>
      </w:r>
    </w:p>
    <w:p w:rsidR="004A3950" w:rsidRDefault="004A3950" w:rsidP="004A3950">
      <w:pPr>
        <w:spacing w:line="480" w:lineRule="auto"/>
        <w:ind w:firstLine="720"/>
      </w:pPr>
      <w:r>
        <w:lastRenderedPageBreak/>
        <w:t xml:space="preserve">Of course, many would argue that the People’s Court lynched murderers and was, legally at least, no different from the vigilantes.  I would argue, however, that the People’s Court was attempting to mimic due process and was a public legalistic endeavor designed to demonstrate the law abiding nature of the settlement as much as to deter would be killers and thieves.  Vigilantism was private, even when the </w:t>
      </w:r>
      <w:r w:rsidR="00B04C68">
        <w:t>identities of the members were</w:t>
      </w:r>
      <w:r>
        <w:t xml:space="preserve"> an open secret, as was the case in Denver in 1860.</w:t>
      </w:r>
      <w:r w:rsidR="00D82D16" w:rsidRPr="00D82D16">
        <w:rPr>
          <w:rStyle w:val="FootnoteReference"/>
        </w:rPr>
        <w:t xml:space="preserve"> </w:t>
      </w:r>
      <w:r w:rsidR="00D82D16">
        <w:rPr>
          <w:rStyle w:val="FootnoteReference"/>
        </w:rPr>
        <w:footnoteReference w:id="12"/>
      </w:r>
      <w:r>
        <w:t xml:space="preserve">  It had to be private because it was illegal and morally justified only due to the extra-ordinary circumstances.  Unlike the meetings of the </w:t>
      </w:r>
      <w:r w:rsidR="00B04C68">
        <w:t>miners’</w:t>
      </w:r>
      <w:r>
        <w:t xml:space="preserve"> courts or the claim club, vigilantism was </w:t>
      </w:r>
      <w:r w:rsidR="00B04C68">
        <w:t>episodic, irregular,</w:t>
      </w:r>
      <w:r>
        <w:t xml:space="preserve"> and never sanctioned by official authorities.  In this regard, it was similar to lynching, as this developed in the South and elsewhere after the Civil War and peaked in the Southern lynching era of 1890-1930.</w:t>
      </w:r>
      <w:r w:rsidR="00D82D16">
        <w:rPr>
          <w:rStyle w:val="FootnoteReference"/>
        </w:rPr>
        <w:footnoteReference w:id="13"/>
      </w:r>
    </w:p>
    <w:p w:rsidR="004A3950" w:rsidRDefault="0038506C" w:rsidP="004A3950">
      <w:pPr>
        <w:spacing w:line="480" w:lineRule="auto"/>
        <w:ind w:firstLine="720"/>
      </w:pPr>
      <w:r>
        <w:t xml:space="preserve">Lynching was justified if not legitimated by appeal to extra-ordinary situation faced by whites who claimed to be at the mercy of a black majority (or substantial minority) </w:t>
      </w:r>
      <w:r w:rsidR="002353BF">
        <w:t xml:space="preserve">that could </w:t>
      </w:r>
      <w:r>
        <w:t xml:space="preserve">not </w:t>
      </w:r>
      <w:r w:rsidR="002353BF">
        <w:t>be deter</w:t>
      </w:r>
      <w:r>
        <w:t xml:space="preserve">red by legal sanction or rehabilitated by the moral force of family, religious, or community values.  It is on this last point that we see the clear divergence of vigilantism and terrorism.  The victims of vigilantism </w:t>
      </w:r>
      <w:r w:rsidR="00E210E8">
        <w:t>we</w:t>
      </w:r>
      <w:r>
        <w:t xml:space="preserve">re bad men who </w:t>
      </w:r>
      <w:r w:rsidR="00E210E8">
        <w:t>we</w:t>
      </w:r>
      <w:r>
        <w:t xml:space="preserve">re not adequately deterred by official sanctions, but they </w:t>
      </w:r>
      <w:r w:rsidR="00E210E8">
        <w:t>we</w:t>
      </w:r>
      <w:r>
        <w:t>re not necessarily beyond redempt</w:t>
      </w:r>
      <w:r w:rsidR="002353BF">
        <w:t xml:space="preserve">ion.  They </w:t>
      </w:r>
      <w:r w:rsidR="00E210E8">
        <w:t>we</w:t>
      </w:r>
      <w:r w:rsidR="002353BF">
        <w:t>re, perhaps, good bo</w:t>
      </w:r>
      <w:r>
        <w:t xml:space="preserve">ys gone bad or simply boys who lacked the family, church, and community base that </w:t>
      </w:r>
      <w:r w:rsidR="00E210E8">
        <w:t xml:space="preserve">might have made </w:t>
      </w:r>
      <w:r>
        <w:t xml:space="preserve">them good boys and eventually men.  They </w:t>
      </w:r>
      <w:r w:rsidR="00E210E8">
        <w:t>we</w:t>
      </w:r>
      <w:r>
        <w:t>re, at least in theory, members of the community.</w:t>
      </w:r>
    </w:p>
    <w:p w:rsidR="0038506C" w:rsidRDefault="0038506C" w:rsidP="004A3950">
      <w:pPr>
        <w:spacing w:line="480" w:lineRule="auto"/>
        <w:ind w:firstLine="720"/>
      </w:pPr>
      <w:r>
        <w:lastRenderedPageBreak/>
        <w:t>The lynching victims of the Twentieth Century Klan or the antebellum Southern mobs were not members of the community</w:t>
      </w:r>
      <w:r w:rsidR="005951A9">
        <w:t xml:space="preserve">.  They were like </w:t>
      </w:r>
      <w:r>
        <w:t>the witches of Salem</w:t>
      </w:r>
      <w:r w:rsidR="00911C38">
        <w:t>, the Native American tribes, or the victims of the Spanish or French Inquisition</w:t>
      </w:r>
      <w:r>
        <w:t>.</w:t>
      </w:r>
      <w:r w:rsidR="00911C38">
        <w:t xml:space="preserve">  These were fiends and demons who were tortured as part of their execution, not to deter others but to purge the community of this evil.  The barbarity of the antebellum Southern lynching, as reported in Pfeifer and presented </w:t>
      </w:r>
      <w:proofErr w:type="gramStart"/>
      <w:r w:rsidR="00911C38">
        <w:t>above,</w:t>
      </w:r>
      <w:proofErr w:type="gramEnd"/>
      <w:r w:rsidR="00911C38">
        <w:t xml:space="preserve"> was reminiscent of the holy wars.  These gradual</w:t>
      </w:r>
      <w:r w:rsidR="007B0101">
        <w:t>ly</w:t>
      </w:r>
      <w:r w:rsidR="00911C38">
        <w:t xml:space="preserve"> became less barbarous as Southerners attempted to accommodate the threat of abolitionist and Northern business interests, which united in their </w:t>
      </w:r>
      <w:r w:rsidR="005951A9">
        <w:t xml:space="preserve">quest </w:t>
      </w:r>
      <w:r w:rsidR="00911C38">
        <w:t>to contain the damage represented by the “peculiar institution” of Southern slavery and the rather crude resort to flogging and paramilitary efforts to discipline labor.</w:t>
      </w:r>
    </w:p>
    <w:p w:rsidR="00911C38" w:rsidRDefault="00911C38" w:rsidP="004A3950">
      <w:pPr>
        <w:spacing w:line="480" w:lineRule="auto"/>
        <w:ind w:firstLine="720"/>
      </w:pPr>
      <w:r>
        <w:t>After the war, Reconstruction represented a new and even more extra-ordinar</w:t>
      </w:r>
      <w:r w:rsidR="005951A9">
        <w:t xml:space="preserve">y situation, in which </w:t>
      </w:r>
      <w:r w:rsidR="00C87F9C">
        <w:t xml:space="preserve">some </w:t>
      </w:r>
      <w:r w:rsidR="005951A9">
        <w:t>Southern G</w:t>
      </w:r>
      <w:r>
        <w:t xml:space="preserve">entlemen </w:t>
      </w:r>
      <w:r w:rsidR="005951A9">
        <w:t xml:space="preserve">lost political rights granted </w:t>
      </w:r>
      <w:r>
        <w:t>to their former slaves under the watchful eye of the Freedmen’s Bureau.</w:t>
      </w:r>
      <w:r w:rsidR="00C87F9C">
        <w:rPr>
          <w:rStyle w:val="FootnoteReference"/>
        </w:rPr>
        <w:footnoteReference w:id="14"/>
      </w:r>
      <w:r>
        <w:t xml:space="preserve">  Outrages reported by the Bureau were a mix of old time plantation discipline</w:t>
      </w:r>
      <w:r w:rsidR="0033356E">
        <w:t xml:space="preserve"> and more innovative efforts to protect white persons and property from the dual threat of Freedmen and</w:t>
      </w:r>
      <w:r w:rsidR="00C87F9C">
        <w:t xml:space="preserve"> Republicans</w:t>
      </w:r>
      <w:r w:rsidR="0033356E">
        <w:t>.  The Ku Klux Klan emerged, in 186</w:t>
      </w:r>
      <w:r w:rsidR="006977AA">
        <w:t>6</w:t>
      </w:r>
      <w:r w:rsidR="0033356E">
        <w:t xml:space="preserve"> as part of this innovation.  By 1872, however, in Georgia it was no longer necessary to innovate.  </w:t>
      </w:r>
      <w:r w:rsidR="00C87F9C">
        <w:t xml:space="preserve">Democrats Redeemed Georgia in the elections of 1870-1871.  Local government was reorganized.  </w:t>
      </w:r>
      <w:r w:rsidR="0033356E">
        <w:t>T</w:t>
      </w:r>
      <w:r w:rsidR="00C87F9C">
        <w:t>he white militia was re-established</w:t>
      </w:r>
      <w:r w:rsidR="00813B8F">
        <w:t xml:space="preserve">, along with the </w:t>
      </w:r>
      <w:r w:rsidR="006977AA">
        <w:t>poll tax</w:t>
      </w:r>
      <w:r w:rsidR="00813B8F">
        <w:t>,</w:t>
      </w:r>
      <w:r w:rsidR="0028266D">
        <w:t xml:space="preserve"> and </w:t>
      </w:r>
      <w:r w:rsidR="006977AA">
        <w:t xml:space="preserve">a </w:t>
      </w:r>
      <w:r w:rsidR="0033356E">
        <w:t>cumulative poll tax was established</w:t>
      </w:r>
      <w:r w:rsidR="006977AA">
        <w:t xml:space="preserve"> after the disputed presidential election of 1876</w:t>
      </w:r>
      <w:r w:rsidR="0033356E">
        <w:t>.  The brief flurry of vigilantism and terrorism, 1868-1872, had secured the State</w:t>
      </w:r>
      <w:r w:rsidR="006977AA">
        <w:t>, although the challenge of Populism lay ahead</w:t>
      </w:r>
      <w:r w:rsidR="0033356E">
        <w:t xml:space="preserve">.  Elsewhere, notably in Louisiana, the violence continued </w:t>
      </w:r>
      <w:r w:rsidR="006977AA">
        <w:t xml:space="preserve">long after </w:t>
      </w:r>
      <w:r w:rsidR="0033356E">
        <w:t xml:space="preserve">1877.  Generally, this second wave of lynching was politically motivated, as indicated in the analysis of outrages, </w:t>
      </w:r>
      <w:r w:rsidR="0033356E">
        <w:lastRenderedPageBreak/>
        <w:t xml:space="preserve">and it was successful, in Georgia, in disenfranchising labor, both black and white (see </w:t>
      </w:r>
      <w:proofErr w:type="spellStart"/>
      <w:r w:rsidR="0033356E">
        <w:t>Kousser</w:t>
      </w:r>
      <w:proofErr w:type="spellEnd"/>
      <w:r w:rsidR="00E210E8">
        <w:t xml:space="preserve"> 1974</w:t>
      </w:r>
      <w:r w:rsidR="0033356E">
        <w:t>).</w:t>
      </w:r>
    </w:p>
    <w:p w:rsidR="005951A9" w:rsidRDefault="005951A9" w:rsidP="005951A9">
      <w:pPr>
        <w:spacing w:line="480" w:lineRule="auto"/>
        <w:ind w:firstLine="720"/>
        <w:jc w:val="center"/>
      </w:pPr>
      <w:r>
        <w:rPr>
          <w:noProof/>
        </w:rPr>
        <w:drawing>
          <wp:inline distT="0" distB="0" distL="0" distR="0" wp14:anchorId="04D67004" wp14:editId="31940D57">
            <wp:extent cx="3474720" cy="2834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5040"/>
                    <a:stretch/>
                  </pic:blipFill>
                  <pic:spPr bwMode="auto">
                    <a:xfrm>
                      <a:off x="0" y="0"/>
                      <a:ext cx="3474720" cy="2834640"/>
                    </a:xfrm>
                    <a:prstGeom prst="rect">
                      <a:avLst/>
                    </a:prstGeom>
                    <a:noFill/>
                    <a:ln>
                      <a:noFill/>
                    </a:ln>
                    <a:extLst>
                      <a:ext uri="{53640926-AAD7-44D8-BBD7-CCE9431645EC}">
                        <a14:shadowObscured xmlns:a14="http://schemas.microsoft.com/office/drawing/2010/main"/>
                      </a:ext>
                    </a:extLst>
                  </pic:spPr>
                </pic:pic>
              </a:graphicData>
            </a:graphic>
          </wp:inline>
        </w:drawing>
      </w:r>
    </w:p>
    <w:p w:rsidR="005951A9" w:rsidRDefault="005951A9" w:rsidP="004A3950">
      <w:pPr>
        <w:spacing w:line="480" w:lineRule="auto"/>
        <w:ind w:firstLine="720"/>
      </w:pPr>
      <w:r>
        <w:t xml:space="preserve">Source: Savannah </w:t>
      </w:r>
      <w:r>
        <w:rPr>
          <w:i/>
        </w:rPr>
        <w:t>Daily News and Tribune</w:t>
      </w:r>
      <w:r>
        <w:t xml:space="preserve"> 1 July 1871, p. 2</w:t>
      </w:r>
    </w:p>
    <w:p w:rsidR="00E210E8" w:rsidRPr="005951A9" w:rsidRDefault="00E210E8" w:rsidP="004A3950">
      <w:pPr>
        <w:spacing w:line="480" w:lineRule="auto"/>
        <w:ind w:firstLine="720"/>
      </w:pPr>
    </w:p>
    <w:p w:rsidR="0033356E" w:rsidRDefault="0033356E" w:rsidP="004A3950">
      <w:pPr>
        <w:spacing w:line="480" w:lineRule="auto"/>
        <w:ind w:firstLine="720"/>
      </w:pPr>
      <w:r>
        <w:t>Then, beginning in the Populist Era and continuing through the Progressive Era (1890-1</w:t>
      </w:r>
      <w:r w:rsidR="00E04BE5">
        <w:t xml:space="preserve">929) Southern lynching returned with a vengeance.  What is particularly interesting here is that the barbarism of lynching was, if anything, even greater during this period than it had been back in the early day of </w:t>
      </w:r>
      <w:proofErr w:type="spellStart"/>
      <w:r w:rsidR="00E04BE5">
        <w:t>Jacksonian</w:t>
      </w:r>
      <w:proofErr w:type="spellEnd"/>
      <w:r w:rsidR="00E04BE5">
        <w:t xml:space="preserve"> America.  In fact, even outside the South it appears that  lynching</w:t>
      </w:r>
      <w:r w:rsidR="008D399E">
        <w:t>,</w:t>
      </w:r>
      <w:r w:rsidR="00E04BE5">
        <w:t xml:space="preserve"> during the Populist and Progressive Era</w:t>
      </w:r>
      <w:r w:rsidR="008D399E">
        <w:t>,</w:t>
      </w:r>
      <w:r w:rsidR="00E04BE5">
        <w:t xml:space="preserve"> was both more barbaric and more racial, approaching Southern lynching in that regard, just as antebellum Southern lynching approached the Western model (hanging rather than burning) as the Civil War approached.</w:t>
      </w:r>
    </w:p>
    <w:p w:rsidR="00E04BE5" w:rsidRDefault="00B741B9" w:rsidP="004A3950">
      <w:pPr>
        <w:spacing w:line="480" w:lineRule="auto"/>
        <w:ind w:firstLine="720"/>
      </w:pPr>
      <w:r>
        <w:t xml:space="preserve">The history of lynching, 1830-1930, includes at least two distinct models of collective violence: vigilantism and terrorism.  Vigilantism tends to </w:t>
      </w:r>
      <w:r w:rsidR="00A660DD">
        <w:t xml:space="preserve">be </w:t>
      </w:r>
      <w:r>
        <w:t xml:space="preserve">associated with frontiers and class-based political interests, such as cattlemen or farmers hanging rustlers or horse thieves in </w:t>
      </w:r>
      <w:r>
        <w:lastRenderedPageBreak/>
        <w:t>Colorado or in Indiana during Reconstruction.  Terrorism tends to be associated w</w:t>
      </w:r>
      <w:r w:rsidR="007B0101">
        <w:t>ith regions of refuge, such as B</w:t>
      </w:r>
      <w:r>
        <w:t xml:space="preserve">order </w:t>
      </w:r>
      <w:r w:rsidR="007B0101">
        <w:t>S</w:t>
      </w:r>
      <w:r>
        <w:t>tates</w:t>
      </w:r>
      <w:r w:rsidR="00A660DD">
        <w:t xml:space="preserve"> </w:t>
      </w:r>
      <w:r w:rsidR="00BB7E58">
        <w:t xml:space="preserve">and racial or status-based political interests, in the antebellum South and </w:t>
      </w:r>
      <w:r w:rsidR="00A660DD">
        <w:t>W</w:t>
      </w:r>
      <w:r w:rsidR="00BB7E58">
        <w:t>est between 1830 and 1849.  The extermination of Native American Indian claims to the West entailed terrorism and military as well as paramilitary expeditions, in Indiana shortly after the War of 1812 and before Jackson, an Indian Fighter in his own right, began to challenge both Jeffersonian and Southern ideal</w:t>
      </w:r>
      <w:r w:rsidR="007B0101">
        <w:t>s</w:t>
      </w:r>
      <w:r w:rsidR="00BB7E58">
        <w:t xml:space="preserve"> of Democracy.  At the same time, in Southern Colorado, the associates o</w:t>
      </w:r>
      <w:r w:rsidR="007B0101">
        <w:t xml:space="preserve">f Saint </w:t>
      </w:r>
      <w:proofErr w:type="spellStart"/>
      <w:r w:rsidR="007B0101">
        <w:t>Vrain</w:t>
      </w:r>
      <w:proofErr w:type="spellEnd"/>
      <w:r w:rsidR="007B0101">
        <w:t xml:space="preserve"> and Bent’s Southwestern Empire waged</w:t>
      </w:r>
      <w:r w:rsidR="00BB7E58">
        <w:t xml:space="preserve"> running battles with the Utes, including the Pueblo Massacre.  In California and New Mexico</w:t>
      </w:r>
      <w:r w:rsidR="007B0101">
        <w:t>,</w:t>
      </w:r>
      <w:r w:rsidR="00BB7E58">
        <w:t xml:space="preserve"> the </w:t>
      </w:r>
      <w:r w:rsidR="00716597">
        <w:t>war of conquest waged against the Native and Mexican people was part of a frontier experience that colored vigilantism often</w:t>
      </w:r>
      <w:r w:rsidR="007B0101">
        <w:t xml:space="preserve"> </w:t>
      </w:r>
      <w:r w:rsidR="00716597">
        <w:t>mixed with terrorism.</w:t>
      </w:r>
    </w:p>
    <w:p w:rsidR="00654D16" w:rsidRDefault="00654D16" w:rsidP="004A3950">
      <w:pPr>
        <w:spacing w:line="480" w:lineRule="auto"/>
      </w:pPr>
    </w:p>
    <w:p w:rsidR="00654D16" w:rsidRPr="00654D16" w:rsidRDefault="00654D16" w:rsidP="005951A9">
      <w:pPr>
        <w:keepNext/>
        <w:spacing w:line="480" w:lineRule="auto"/>
        <w:rPr>
          <w:u w:val="single"/>
        </w:rPr>
      </w:pPr>
      <w:r>
        <w:rPr>
          <w:u w:val="single"/>
        </w:rPr>
        <w:t>Learning to Lynch</w:t>
      </w:r>
    </w:p>
    <w:p w:rsidR="00654D16" w:rsidRDefault="00716597" w:rsidP="004A3950">
      <w:pPr>
        <w:spacing w:line="480" w:lineRule="auto"/>
      </w:pPr>
      <w:r>
        <w:tab/>
        <w:t>The invention of lynching as vigilantism and terrorism, in defense of class and status interests, was a product of the general transformation of the American republican capitalist system between 1830 and 1930.  When and where lynching appeared in what form depended on the nature of republican capitalism in that time and place, the cultural baggage that people brought to the table</w:t>
      </w:r>
      <w:r w:rsidR="002E6A2A">
        <w:t xml:space="preserve"> (including identities, networks, and repertoires)</w:t>
      </w:r>
      <w:r>
        <w:t xml:space="preserve">, and the process of transformation that they experienced.  </w:t>
      </w:r>
    </w:p>
    <w:p w:rsidR="00654D16" w:rsidRDefault="00716597" w:rsidP="00E52F58">
      <w:pPr>
        <w:spacing w:line="480" w:lineRule="auto"/>
        <w:ind w:firstLine="720"/>
      </w:pPr>
      <w:r>
        <w:t>In Rochester New York, the industrial revolution of 1830 was associated with Christian revival and the development of the factory system</w:t>
      </w:r>
      <w:r w:rsidR="00A660DD">
        <w:t xml:space="preserve">.  </w:t>
      </w:r>
      <w:r w:rsidR="00651B72">
        <w:t xml:space="preserve">The factory entailed </w:t>
      </w:r>
      <w:r>
        <w:t xml:space="preserve">separating work and home (destruction of craft household production and reproduction) and </w:t>
      </w:r>
      <w:r w:rsidR="00651B72">
        <w:t xml:space="preserve">fostered </w:t>
      </w:r>
      <w:r>
        <w:t xml:space="preserve">split labor markets, with ethnic and religious </w:t>
      </w:r>
      <w:r w:rsidR="00D469AB">
        <w:t xml:space="preserve">bases </w:t>
      </w:r>
      <w:r>
        <w:t xml:space="preserve">(the resident dry Christian workers versus Irish and </w:t>
      </w:r>
      <w:r>
        <w:lastRenderedPageBreak/>
        <w:t>German migratory workers).  Here it seems that capital accumulation, state-building, democracy and Christian revival worked hand-in-hand as the forces of civilization</w:t>
      </w:r>
      <w:r w:rsidR="00A660DD">
        <w:t xml:space="preserve"> (Johnson 1978)</w:t>
      </w:r>
      <w:r w:rsidR="00E52F58">
        <w:t xml:space="preserve">.  </w:t>
      </w:r>
      <w:r w:rsidR="00654D16">
        <w:t xml:space="preserve">Out </w:t>
      </w:r>
      <w:r w:rsidR="00E52F58">
        <w:t xml:space="preserve">West, in Ohio and Indiana, farmers relied on vigilantism to protect themselves from the wandering herds of thieves and intemperate persons who were the flotsam and jetsam of the industrial reserve army.  </w:t>
      </w:r>
      <w:r w:rsidR="00654D16">
        <w:t>Fa</w:t>
      </w:r>
      <w:r w:rsidR="00E52F58">
        <w:t>rther West</w:t>
      </w:r>
      <w:r w:rsidR="00654D16">
        <w:t>,</w:t>
      </w:r>
      <w:r w:rsidR="00E52F58">
        <w:t xml:space="preserve"> the </w:t>
      </w:r>
      <w:proofErr w:type="spellStart"/>
      <w:r w:rsidR="00E52F58">
        <w:t>Pueblans</w:t>
      </w:r>
      <w:proofErr w:type="spellEnd"/>
      <w:r w:rsidR="00E52F58">
        <w:t xml:space="preserve"> were battling the Utes.  </w:t>
      </w:r>
    </w:p>
    <w:p w:rsidR="004A3950" w:rsidRDefault="00654D16" w:rsidP="00E52F58">
      <w:pPr>
        <w:spacing w:line="480" w:lineRule="auto"/>
        <w:ind w:firstLine="720"/>
      </w:pPr>
      <w:r>
        <w:t>Meanwhile, down South, resistance to nationalism (and Jackson) was a serious problem and the Negro problem in the borderlands was more than simply a problem of surplus labor (the mobile version of ghetto youth) or resistance to colonization (the problem of extinguishing Mexican and Indian claims to land).  Plantation slavery was a cancer that would ultimately consume most of the land from Georgia to Eastern Texas in the production of cotton (or sometimes rice) and the propagation of the Negro race</w:t>
      </w:r>
      <w:r w:rsidR="00402B0F">
        <w:t xml:space="preserve">.  Negroes were too valuable to kill but were as threatening to the yeoman as the Chinese </w:t>
      </w:r>
      <w:r w:rsidR="00E44852">
        <w:t xml:space="preserve">were to </w:t>
      </w:r>
      <w:r w:rsidR="00402B0F">
        <w:t>the Western mine</w:t>
      </w:r>
      <w:r w:rsidR="00E44852">
        <w:t>r</w:t>
      </w:r>
      <w:r w:rsidR="00402B0F">
        <w:t>s.  In both cases, their arrival marked the end of artisanal production.  The antebellum wave of Southern lynching, 1824-1849, was similar in that regard to the Chinese riot in Denver in 1880, as partisans appealed to race (or ethnic status) and class interests to mobilize white workers against Republicans and capitalists who brought their slaves or Coolies into production that could no longer support independent artisans or yeomen.</w:t>
      </w:r>
    </w:p>
    <w:p w:rsidR="002E6A2A" w:rsidRPr="00E44852" w:rsidRDefault="00E44852" w:rsidP="004A3950">
      <w:pPr>
        <w:spacing w:line="480" w:lineRule="auto"/>
      </w:pPr>
      <w:r>
        <w:tab/>
        <w:t>The economic threat to independent artisans, be they farmers or miners, was similar, but the culture of the Georgia Upcountry, Appalachia, and Cumberland Plateau</w:t>
      </w:r>
      <w:r w:rsidR="00F16A2D">
        <w:t xml:space="preserve"> was </w:t>
      </w:r>
      <w:r w:rsidR="00A833B0">
        <w:t>qualit</w:t>
      </w:r>
      <w:r w:rsidR="00F16A2D">
        <w:t xml:space="preserve">atively different from the culture of </w:t>
      </w:r>
      <w:r w:rsidR="001A297F">
        <w:t xml:space="preserve">Colorado </w:t>
      </w:r>
      <w:r w:rsidR="00F16A2D">
        <w:t xml:space="preserve">mining camps.  The Regulator tradition notwithstanding, the black slave was not a foreigner or even an invader in the same way as the Chinese were.  Black slavery was a Southern tradition, and </w:t>
      </w:r>
      <w:r w:rsidR="00A833B0">
        <w:t xml:space="preserve">planters hired </w:t>
      </w:r>
      <w:r w:rsidR="00F16A2D">
        <w:t xml:space="preserve">non-planter whites to discipline the </w:t>
      </w:r>
      <w:r w:rsidR="00F16A2D">
        <w:lastRenderedPageBreak/>
        <w:t xml:space="preserve">master’s slaves and to catch runaways for generations before the lynching </w:t>
      </w:r>
      <w:r w:rsidR="00374206">
        <w:t>repertoire emerged.  White yeome</w:t>
      </w:r>
      <w:r w:rsidR="00F16A2D">
        <w:t xml:space="preserve">n learned to lynch in that context.  Unlike the Chinese, the Negro was familiar as the detested other.  Once the yeomen were no longer capturing runaways in service to the planter but defending their homes </w:t>
      </w:r>
      <w:r w:rsidR="00C468A7">
        <w:t xml:space="preserve">and their families </w:t>
      </w:r>
      <w:r w:rsidR="00F16A2D">
        <w:t xml:space="preserve">from </w:t>
      </w:r>
      <w:r w:rsidR="00C468A7">
        <w:t>“fiends,” the brutality paralleled the holy wars, in this struggle between good and evil.</w:t>
      </w:r>
    </w:p>
    <w:p w:rsidR="0029045F" w:rsidRDefault="00C468A7" w:rsidP="004A3950">
      <w:pPr>
        <w:spacing w:line="480" w:lineRule="auto"/>
      </w:pPr>
      <w:r>
        <w:tab/>
        <w:t xml:space="preserve">This holy war of extermination had some parallels in the West, with the Sand Creek Massacre in Colorado, during the Civil War, but the situation was different, since only Easterners were inclined to defend </w:t>
      </w:r>
      <w:r w:rsidR="00A833B0">
        <w:t>“</w:t>
      </w:r>
      <w:r>
        <w:t>the savages</w:t>
      </w:r>
      <w:r w:rsidR="00A833B0">
        <w:t>”</w:t>
      </w:r>
      <w:r>
        <w:t xml:space="preserve"> from military or paramilitary extermination effort</w:t>
      </w:r>
      <w:r w:rsidR="00A833B0">
        <w:t>s</w:t>
      </w:r>
      <w:r>
        <w:t>, largely supported by Southern as well as Western Democrats</w:t>
      </w:r>
      <w:r w:rsidR="00A833B0">
        <w:t xml:space="preserve"> (Daily News and Tribune 1872</w:t>
      </w:r>
      <w:r w:rsidR="00BF18FD">
        <w:t>b</w:t>
      </w:r>
      <w:r w:rsidR="00A833B0">
        <w:t>)</w:t>
      </w:r>
      <w:r>
        <w:t>.</w:t>
      </w:r>
    </w:p>
    <w:p w:rsidR="0029045F" w:rsidRDefault="00CD54CB" w:rsidP="0029045F">
      <w:pPr>
        <w:spacing w:line="480" w:lineRule="auto"/>
        <w:jc w:val="center"/>
      </w:pPr>
      <w:r>
        <w:rPr>
          <w:noProof/>
        </w:rPr>
        <w:drawing>
          <wp:inline distT="0" distB="0" distL="0" distR="0" wp14:anchorId="0D123E1F" wp14:editId="0FE5EE67">
            <wp:extent cx="3273552" cy="2834640"/>
            <wp:effectExtent l="0" t="0" r="317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nching in Midwest.jpg"/>
                    <pic:cNvPicPr/>
                  </pic:nvPicPr>
                  <pic:blipFill rotWithShape="1">
                    <a:blip r:embed="rId17">
                      <a:extLst>
                        <a:ext uri="{28A0092B-C50C-407E-A947-70E740481C1C}">
                          <a14:useLocalDpi xmlns:a14="http://schemas.microsoft.com/office/drawing/2010/main" val="0"/>
                        </a:ext>
                      </a:extLst>
                    </a:blip>
                    <a:srcRect l="6196" t="2914" r="1400"/>
                    <a:stretch/>
                  </pic:blipFill>
                  <pic:spPr bwMode="auto">
                    <a:xfrm>
                      <a:off x="0" y="0"/>
                      <a:ext cx="3273552" cy="2834640"/>
                    </a:xfrm>
                    <a:prstGeom prst="rect">
                      <a:avLst/>
                    </a:prstGeom>
                    <a:ln>
                      <a:noFill/>
                    </a:ln>
                    <a:extLst>
                      <a:ext uri="{53640926-AAD7-44D8-BBD7-CCE9431645EC}">
                        <a14:shadowObscured xmlns:a14="http://schemas.microsoft.com/office/drawing/2010/main"/>
                      </a:ext>
                    </a:extLst>
                  </pic:spPr>
                </pic:pic>
              </a:graphicData>
            </a:graphic>
          </wp:inline>
        </w:drawing>
      </w:r>
    </w:p>
    <w:p w:rsidR="0029045F" w:rsidRPr="0029045F" w:rsidRDefault="0029045F" w:rsidP="0029045F">
      <w:pPr>
        <w:spacing w:line="480" w:lineRule="auto"/>
      </w:pPr>
      <w:r>
        <w:t xml:space="preserve">Source: Savannah </w:t>
      </w:r>
      <w:r w:rsidRPr="0029045F">
        <w:rPr>
          <w:i/>
        </w:rPr>
        <w:t>Daily News and Tribune</w:t>
      </w:r>
      <w:r>
        <w:t xml:space="preserve"> 5 August 1872, p. 2</w:t>
      </w:r>
    </w:p>
    <w:p w:rsidR="00BF18FD" w:rsidRDefault="00C468A7" w:rsidP="004A3950">
      <w:pPr>
        <w:spacing w:line="480" w:lineRule="auto"/>
      </w:pPr>
      <w:r>
        <w:t xml:space="preserve">  </w:t>
      </w:r>
    </w:p>
    <w:p w:rsidR="002E6A2A" w:rsidRDefault="00C468A7" w:rsidP="00930B55">
      <w:pPr>
        <w:spacing w:line="480" w:lineRule="auto"/>
        <w:ind w:firstLine="720"/>
      </w:pPr>
      <w:r>
        <w:t xml:space="preserve">In the South, however, it </w:t>
      </w:r>
      <w:r w:rsidR="00813B8F">
        <w:t xml:space="preserve">was </w:t>
      </w:r>
      <w:r>
        <w:t>obvious that blacks would be required as laborers if not slaves.  Thus declining barbarism and attempts to legitimate ante</w:t>
      </w:r>
      <w:r w:rsidR="00930B55">
        <w:t xml:space="preserve"> b</w:t>
      </w:r>
      <w:r>
        <w:t>ellum</w:t>
      </w:r>
      <w:r w:rsidR="00930B55">
        <w:t xml:space="preserve"> </w:t>
      </w:r>
      <w:r>
        <w:t xml:space="preserve">lynching as vigilantism </w:t>
      </w:r>
      <w:r>
        <w:lastRenderedPageBreak/>
        <w:t>became increasingly common both before and after the Civil War.  Between 1860 and 1877 (Civil War and Reconstruction)</w:t>
      </w:r>
      <w:r w:rsidR="0029045F">
        <w:t xml:space="preserve">, </w:t>
      </w:r>
      <w:r>
        <w:t>there was a transition to the new repertoire of contention.  Western vigilantism and Southern outrages were part of this transition to more public</w:t>
      </w:r>
      <w:r w:rsidR="007C1415">
        <w:t>, symbolic events, including both the public executions in the West and the Klan rallies in the South.  Both were part of the modern, social movement repertoire of patriotic celebrations and WUNC displays (Tilly</w:t>
      </w:r>
      <w:r w:rsidR="00F17BA0">
        <w:t xml:space="preserve"> 2004</w:t>
      </w:r>
      <w:r w:rsidR="007C1415">
        <w:t xml:space="preserve">: WUNC is shorthand for demonstrating that we are Worthy, United, Numerous, and </w:t>
      </w:r>
      <w:proofErr w:type="gramStart"/>
      <w:r w:rsidR="007C1415">
        <w:t>Committed</w:t>
      </w:r>
      <w:proofErr w:type="gramEnd"/>
      <w:r w:rsidR="007C1415">
        <w:t>).</w:t>
      </w:r>
    </w:p>
    <w:p w:rsidR="00294C53" w:rsidRDefault="00294C53" w:rsidP="00930B55">
      <w:pPr>
        <w:spacing w:line="480" w:lineRule="auto"/>
        <w:ind w:firstLine="720"/>
      </w:pPr>
      <w:r>
        <w:t>At the same time that the Savannah editor was arguing against the need for federal troops to interfere with the newly Democratic government of Georgia, he was complaining that federal Indian policy was equally problematic.</w:t>
      </w:r>
    </w:p>
    <w:p w:rsidR="00930B55" w:rsidRDefault="00E979F7" w:rsidP="00E979F7">
      <w:pPr>
        <w:spacing w:line="480" w:lineRule="auto"/>
        <w:ind w:firstLine="720"/>
        <w:jc w:val="center"/>
      </w:pPr>
      <w:r>
        <w:rPr>
          <w:noProof/>
        </w:rPr>
        <w:drawing>
          <wp:inline distT="0" distB="0" distL="0" distR="0" wp14:anchorId="02F78F4F" wp14:editId="6E416B6A">
            <wp:extent cx="3511296" cy="2834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as Lynching.jpg"/>
                    <pic:cNvPicPr/>
                  </pic:nvPicPr>
                  <pic:blipFill rotWithShape="1">
                    <a:blip r:embed="rId18">
                      <a:extLst>
                        <a:ext uri="{28A0092B-C50C-407E-A947-70E740481C1C}">
                          <a14:useLocalDpi xmlns:a14="http://schemas.microsoft.com/office/drawing/2010/main" val="0"/>
                        </a:ext>
                      </a:extLst>
                    </a:blip>
                    <a:srcRect l="8797" r="1800"/>
                    <a:stretch/>
                  </pic:blipFill>
                  <pic:spPr bwMode="auto">
                    <a:xfrm>
                      <a:off x="0" y="0"/>
                      <a:ext cx="3511296" cy="2834640"/>
                    </a:xfrm>
                    <a:prstGeom prst="rect">
                      <a:avLst/>
                    </a:prstGeom>
                    <a:ln>
                      <a:noFill/>
                    </a:ln>
                    <a:extLst>
                      <a:ext uri="{53640926-AAD7-44D8-BBD7-CCE9431645EC}">
                        <a14:shadowObscured xmlns:a14="http://schemas.microsoft.com/office/drawing/2010/main"/>
                      </a:ext>
                    </a:extLst>
                  </pic:spPr>
                </pic:pic>
              </a:graphicData>
            </a:graphic>
          </wp:inline>
        </w:drawing>
      </w:r>
    </w:p>
    <w:p w:rsidR="007C1415" w:rsidRDefault="00E979F7" w:rsidP="004A3950">
      <w:pPr>
        <w:spacing w:line="480" w:lineRule="auto"/>
      </w:pPr>
      <w:r>
        <w:t xml:space="preserve">Source: Savannah </w:t>
      </w:r>
      <w:r>
        <w:rPr>
          <w:i/>
        </w:rPr>
        <w:t xml:space="preserve">Daily News and Tribune </w:t>
      </w:r>
      <w:r w:rsidRPr="00E979F7">
        <w:t xml:space="preserve">8 </w:t>
      </w:r>
      <w:proofErr w:type="gramStart"/>
      <w:r w:rsidRPr="00E979F7">
        <w:t>August</w:t>
      </w:r>
      <w:r>
        <w:rPr>
          <w:i/>
        </w:rPr>
        <w:t xml:space="preserve"> </w:t>
      </w:r>
      <w:r>
        <w:t xml:space="preserve"> 1872</w:t>
      </w:r>
      <w:proofErr w:type="gramEnd"/>
      <w:r>
        <w:t>, p. 2</w:t>
      </w:r>
    </w:p>
    <w:p w:rsidR="00686C5F" w:rsidRDefault="00686C5F" w:rsidP="004A3950">
      <w:pPr>
        <w:spacing w:line="480" w:lineRule="auto"/>
      </w:pPr>
    </w:p>
    <w:p w:rsidR="00E979F7" w:rsidRDefault="001A297F" w:rsidP="004A3950">
      <w:pPr>
        <w:spacing w:line="480" w:lineRule="auto"/>
      </w:pPr>
      <w:r>
        <w:tab/>
        <w:t xml:space="preserve">How the editors and politicians rallied the troops in the Populist and Progressive Eras takes us far beyond the limits of this pioneering effort to historicize vigilantism and lynching as </w:t>
      </w:r>
      <w:r>
        <w:lastRenderedPageBreak/>
        <w:t xml:space="preserve">repertoires of contention.  </w:t>
      </w:r>
      <w:r w:rsidR="00B04C68">
        <w:t xml:space="preserve">Vigilantes and lynch mobs offered their would-be victims </w:t>
      </w:r>
      <w:r>
        <w:t>brief respite between the death of Reconstruction</w:t>
      </w:r>
      <w:r w:rsidR="00B04C68">
        <w:t>,</w:t>
      </w:r>
      <w:r>
        <w:t xml:space="preserve"> in 1877</w:t>
      </w:r>
      <w:r w:rsidR="00B04C68">
        <w:t>,</w:t>
      </w:r>
      <w:r>
        <w:t xml:space="preserve"> and </w:t>
      </w:r>
      <w:r w:rsidR="006F3E4B">
        <w:t>the mobilization of the Farmers</w:t>
      </w:r>
      <w:r>
        <w:t xml:space="preserve"> and Populists and Sharecroppers</w:t>
      </w:r>
      <w:r w:rsidR="00B04C68">
        <w:t xml:space="preserve">, in 1890.  Then, during the Populist Era, </w:t>
      </w:r>
      <w:r>
        <w:t xml:space="preserve">North and South, black and white, Southern and even Northern editors and politicians </w:t>
      </w:r>
      <w:r w:rsidR="00B04C68">
        <w:t xml:space="preserve">attempted </w:t>
      </w:r>
      <w:r>
        <w:t>to mobilize their partisan supporters</w:t>
      </w:r>
      <w:r w:rsidR="00B04C68">
        <w:t xml:space="preserve">.  </w:t>
      </w:r>
      <w:r>
        <w:t xml:space="preserve"> </w:t>
      </w:r>
      <w:r w:rsidR="00B04C68">
        <w:t xml:space="preserve">They used </w:t>
      </w:r>
      <w:r>
        <w:t>r</w:t>
      </w:r>
      <w:r w:rsidR="00B04C68">
        <w:t>eligious and similar barbaric</w:t>
      </w:r>
      <w:r>
        <w:t xml:space="preserve"> </w:t>
      </w:r>
      <w:r w:rsidR="00B04C68">
        <w:t>r</w:t>
      </w:r>
      <w:r>
        <w:t>hetoric</w:t>
      </w:r>
      <w:r w:rsidR="00B04C68">
        <w:t xml:space="preserve">, urging the faithful </w:t>
      </w:r>
      <w:r>
        <w:t>to purge the community of saints of the red devils and other fiends who</w:t>
      </w:r>
      <w:r w:rsidR="00B04C68">
        <w:t xml:space="preserve">m we must </w:t>
      </w:r>
      <w:r>
        <w:t>cast out with the damned (including the damned Yankees).</w:t>
      </w:r>
    </w:p>
    <w:p w:rsidR="007E3C81" w:rsidRDefault="007E3C81" w:rsidP="004E28C0">
      <w:pPr>
        <w:spacing w:line="480" w:lineRule="auto"/>
        <w:rPr>
          <w:u w:val="single"/>
        </w:rPr>
      </w:pPr>
    </w:p>
    <w:p w:rsidR="004E28C0" w:rsidRDefault="004E28C0" w:rsidP="004E28C0">
      <w:pPr>
        <w:spacing w:line="480" w:lineRule="auto"/>
        <w:rPr>
          <w:u w:val="single"/>
        </w:rPr>
      </w:pPr>
      <w:r w:rsidRPr="009217C5">
        <w:rPr>
          <w:u w:val="single"/>
        </w:rPr>
        <w:t>References</w:t>
      </w:r>
    </w:p>
    <w:p w:rsidR="00FA54E2" w:rsidRDefault="003753F0" w:rsidP="00FA54E2">
      <w:pPr>
        <w:spacing w:line="480" w:lineRule="auto"/>
        <w:ind w:left="741" w:hanging="741"/>
      </w:pPr>
      <w:r>
        <w:t>Allen, Howard W.</w:t>
      </w:r>
      <w:r w:rsidR="00FA54E2">
        <w:t xml:space="preserve">, Jerome M. </w:t>
      </w:r>
      <w:proofErr w:type="spellStart"/>
      <w:r w:rsidR="00FA54E2">
        <w:t>Clubb</w:t>
      </w:r>
      <w:proofErr w:type="spellEnd"/>
      <w:r w:rsidR="00FA54E2">
        <w:t xml:space="preserve">, and Vincent A. Lacey. 2008. </w:t>
      </w:r>
      <w:r w:rsidR="00FA54E2">
        <w:rPr>
          <w:i/>
        </w:rPr>
        <w:t xml:space="preserve">Race, Class, and the Death Penalty. </w:t>
      </w:r>
      <w:r w:rsidR="00FA54E2">
        <w:t xml:space="preserve">Albany: State University of New York Press.  </w:t>
      </w:r>
    </w:p>
    <w:p w:rsidR="00130B09" w:rsidRPr="00130B09" w:rsidRDefault="00130B09" w:rsidP="004E28C0">
      <w:pPr>
        <w:spacing w:line="480" w:lineRule="auto"/>
        <w:ind w:left="741" w:hanging="741"/>
      </w:pPr>
      <w:proofErr w:type="gramStart"/>
      <w:r>
        <w:t xml:space="preserve">Bailey, Amy Kate and Karen A. </w:t>
      </w:r>
      <w:proofErr w:type="spellStart"/>
      <w:r>
        <w:t>Snedker</w:t>
      </w:r>
      <w:proofErr w:type="spellEnd"/>
      <w:r>
        <w:t>.</w:t>
      </w:r>
      <w:proofErr w:type="gramEnd"/>
      <w:r>
        <w:t xml:space="preserve"> 2011. “Practicing What They Preach? Lynching and Religion in the American South, 1890-1929.” </w:t>
      </w:r>
      <w:r>
        <w:rPr>
          <w:i/>
        </w:rPr>
        <w:t>American Journal of Sociology</w:t>
      </w:r>
      <w:r>
        <w:t xml:space="preserve"> 117 (3):844-887.</w:t>
      </w:r>
    </w:p>
    <w:p w:rsidR="004E28C0" w:rsidRDefault="004E28C0" w:rsidP="004E28C0">
      <w:pPr>
        <w:spacing w:line="480" w:lineRule="auto"/>
        <w:ind w:left="741" w:hanging="741"/>
      </w:pPr>
      <w:proofErr w:type="spellStart"/>
      <w:r>
        <w:t>Brundage</w:t>
      </w:r>
      <w:proofErr w:type="spellEnd"/>
      <w:r>
        <w:t xml:space="preserve">, Fitzhugh W. 1999. “Lynching,” volume 1, pp. 297-303 in Ronald </w:t>
      </w:r>
      <w:proofErr w:type="spellStart"/>
      <w:r>
        <w:t>Gottesman</w:t>
      </w:r>
      <w:proofErr w:type="spellEnd"/>
      <w:r>
        <w:t xml:space="preserve"> and Richard Maxwell Brown (editors), </w:t>
      </w:r>
      <w:r>
        <w:rPr>
          <w:i/>
        </w:rPr>
        <w:t>Violence in America: An Encyclopedia</w:t>
      </w:r>
      <w:r>
        <w:t>. NY: Scribner.</w:t>
      </w:r>
    </w:p>
    <w:p w:rsidR="007F070B" w:rsidRDefault="007F070B" w:rsidP="007F070B">
      <w:pPr>
        <w:spacing w:line="480" w:lineRule="auto"/>
        <w:ind w:left="741" w:hanging="741"/>
      </w:pPr>
      <w:proofErr w:type="gramStart"/>
      <w:r>
        <w:t>Daily News and Herald.</w:t>
      </w:r>
      <w:proofErr w:type="gramEnd"/>
      <w:r>
        <w:t xml:space="preserve"> </w:t>
      </w:r>
      <w:proofErr w:type="gramStart"/>
      <w:r>
        <w:t>1868a. "Riot of Tuesday Last."</w:t>
      </w:r>
      <w:proofErr w:type="gramEnd"/>
      <w:r>
        <w:t xml:space="preserve"> </w:t>
      </w:r>
      <w:proofErr w:type="gramStart"/>
      <w:r>
        <w:t>Savannah (daily), 9 November.</w:t>
      </w:r>
      <w:proofErr w:type="gramEnd"/>
    </w:p>
    <w:p w:rsidR="007F070B" w:rsidRDefault="007F070B" w:rsidP="007F070B">
      <w:pPr>
        <w:spacing w:line="480" w:lineRule="auto"/>
        <w:ind w:left="741" w:hanging="741"/>
      </w:pPr>
      <w:proofErr w:type="gramStart"/>
      <w:r>
        <w:t>Daily News and Herald.</w:t>
      </w:r>
      <w:proofErr w:type="gramEnd"/>
      <w:r>
        <w:t xml:space="preserve"> </w:t>
      </w:r>
      <w:proofErr w:type="gramStart"/>
      <w:r>
        <w:t>1868b. "De Niggers will Rule Darien Yet."</w:t>
      </w:r>
      <w:proofErr w:type="gramEnd"/>
      <w:r>
        <w:t xml:space="preserve"> </w:t>
      </w:r>
      <w:proofErr w:type="gramStart"/>
      <w:r>
        <w:t>Savannah (daily) 31 July.</w:t>
      </w:r>
      <w:proofErr w:type="gramEnd"/>
    </w:p>
    <w:p w:rsidR="00A833B0" w:rsidRDefault="00A833B0" w:rsidP="00A833B0">
      <w:pPr>
        <w:spacing w:line="480" w:lineRule="auto"/>
        <w:ind w:left="741" w:hanging="741"/>
      </w:pPr>
      <w:proofErr w:type="gramStart"/>
      <w:r>
        <w:t>Daily News and Herald.</w:t>
      </w:r>
      <w:proofErr w:type="gramEnd"/>
      <w:r>
        <w:t xml:space="preserve"> </w:t>
      </w:r>
      <w:proofErr w:type="gramStart"/>
      <w:r>
        <w:t>1872a. "A Fiendish Outrage in Pulaski County."</w:t>
      </w:r>
      <w:proofErr w:type="gramEnd"/>
      <w:r>
        <w:t xml:space="preserve"> </w:t>
      </w:r>
      <w:proofErr w:type="gramStart"/>
      <w:r>
        <w:t>Savannah (daily) 22 June.</w:t>
      </w:r>
      <w:proofErr w:type="gramEnd"/>
    </w:p>
    <w:p w:rsidR="00E979F7" w:rsidRDefault="00E979F7" w:rsidP="00E979F7">
      <w:pPr>
        <w:spacing w:line="480" w:lineRule="auto"/>
        <w:ind w:left="741" w:hanging="741"/>
      </w:pPr>
      <w:proofErr w:type="gramStart"/>
      <w:r>
        <w:t>Daily News and Herald.</w:t>
      </w:r>
      <w:proofErr w:type="gramEnd"/>
      <w:r>
        <w:t xml:space="preserve"> </w:t>
      </w:r>
      <w:proofErr w:type="gramStart"/>
      <w:r>
        <w:t>1872b. "Lynch Law in the Northwest."</w:t>
      </w:r>
      <w:proofErr w:type="gramEnd"/>
      <w:r>
        <w:t xml:space="preserve"> </w:t>
      </w:r>
      <w:proofErr w:type="gramStart"/>
      <w:r>
        <w:t>Savannah (daily) 5 August.</w:t>
      </w:r>
      <w:proofErr w:type="gramEnd"/>
    </w:p>
    <w:p w:rsidR="00E979F7" w:rsidRDefault="00E979F7" w:rsidP="00E979F7">
      <w:pPr>
        <w:spacing w:line="480" w:lineRule="auto"/>
        <w:ind w:left="741" w:hanging="741"/>
      </w:pPr>
      <w:proofErr w:type="gramStart"/>
      <w:r>
        <w:t>Daily News and Herald.</w:t>
      </w:r>
      <w:proofErr w:type="gramEnd"/>
      <w:r>
        <w:t xml:space="preserve"> </w:t>
      </w:r>
      <w:proofErr w:type="gramStart"/>
      <w:r>
        <w:t>1872c. “Outrage on the Texas Frontier."</w:t>
      </w:r>
      <w:proofErr w:type="gramEnd"/>
      <w:r>
        <w:t xml:space="preserve"> </w:t>
      </w:r>
      <w:proofErr w:type="gramStart"/>
      <w:r>
        <w:t>Savannah (daily) 8 August.</w:t>
      </w:r>
      <w:proofErr w:type="gramEnd"/>
    </w:p>
    <w:p w:rsidR="007B2A32" w:rsidRPr="007B2A32" w:rsidRDefault="007B2A32" w:rsidP="00E979F7">
      <w:pPr>
        <w:spacing w:line="480" w:lineRule="auto"/>
        <w:ind w:left="741" w:hanging="741"/>
      </w:pPr>
      <w:proofErr w:type="spellStart"/>
      <w:r>
        <w:lastRenderedPageBreak/>
        <w:t>Degler</w:t>
      </w:r>
      <w:proofErr w:type="spellEnd"/>
      <w:r>
        <w:t xml:space="preserve">, Carl N. 1981. </w:t>
      </w:r>
      <w:proofErr w:type="gramStart"/>
      <w:r>
        <w:t>“Re-thinking Post-Civil War History.”</w:t>
      </w:r>
      <w:proofErr w:type="gramEnd"/>
      <w:r>
        <w:t xml:space="preserve"> </w:t>
      </w:r>
      <w:r>
        <w:rPr>
          <w:i/>
        </w:rPr>
        <w:t xml:space="preserve">Virginia Quarterly Review </w:t>
      </w:r>
      <w:r>
        <w:t>57, 2:</w:t>
      </w:r>
      <w:r w:rsidR="00D80221">
        <w:t>250-267.</w:t>
      </w:r>
    </w:p>
    <w:p w:rsidR="000F47B0" w:rsidRDefault="004E28C0" w:rsidP="004E28C0">
      <w:pPr>
        <w:spacing w:line="480" w:lineRule="auto"/>
      </w:pPr>
      <w:r>
        <w:t xml:space="preserve">Dorsett, Lyle. 1977. </w:t>
      </w:r>
      <w:r>
        <w:rPr>
          <w:i/>
        </w:rPr>
        <w:t>The Queen City: A History of Denver</w:t>
      </w:r>
      <w:r>
        <w:t>. Boulder, CO: Pruett Publishing.</w:t>
      </w:r>
    </w:p>
    <w:p w:rsidR="000F47B0" w:rsidRDefault="00D20F91" w:rsidP="004E28C0">
      <w:pPr>
        <w:spacing w:line="480" w:lineRule="auto"/>
      </w:pPr>
      <w:proofErr w:type="gramStart"/>
      <w:r>
        <w:t>Du Bois, W. E. B. 1998 [1935].</w:t>
      </w:r>
      <w:proofErr w:type="gramEnd"/>
      <w:r>
        <w:t xml:space="preserve"> </w:t>
      </w:r>
      <w:r>
        <w:rPr>
          <w:i/>
        </w:rPr>
        <w:t>Black Reconstruction</w:t>
      </w:r>
      <w:r w:rsidR="00623B2C">
        <w:rPr>
          <w:i/>
        </w:rPr>
        <w:t xml:space="preserve"> in America, 1860-1880</w:t>
      </w:r>
      <w:r w:rsidR="00623B2C">
        <w:t xml:space="preserve"> (NY: Free Press).</w:t>
      </w:r>
    </w:p>
    <w:p w:rsidR="00623B2C" w:rsidRPr="007B2A32" w:rsidRDefault="00623B2C" w:rsidP="000F47B0">
      <w:pPr>
        <w:spacing w:line="480" w:lineRule="auto"/>
        <w:ind w:left="720" w:hanging="720"/>
      </w:pPr>
      <w:proofErr w:type="gramStart"/>
      <w:r>
        <w:t>Dunning, William A.</w:t>
      </w:r>
      <w:r w:rsidR="007B2A32">
        <w:t xml:space="preserve"> 1962 [1935].</w:t>
      </w:r>
      <w:proofErr w:type="gramEnd"/>
      <w:r>
        <w:t xml:space="preserve"> </w:t>
      </w:r>
      <w:r>
        <w:rPr>
          <w:i/>
        </w:rPr>
        <w:t>R</w:t>
      </w:r>
      <w:r w:rsidR="007B2A32">
        <w:rPr>
          <w:i/>
        </w:rPr>
        <w:t>econstruction,</w:t>
      </w:r>
      <w:r>
        <w:rPr>
          <w:i/>
        </w:rPr>
        <w:t xml:space="preserve"> Political and Economic</w:t>
      </w:r>
      <w:r w:rsidR="007B2A32">
        <w:rPr>
          <w:i/>
        </w:rPr>
        <w:t>, 1865-1877</w:t>
      </w:r>
      <w:r w:rsidR="007B2A32">
        <w:t xml:space="preserve"> (NY: Harper)</w:t>
      </w:r>
    </w:p>
    <w:p w:rsidR="00651B72" w:rsidRDefault="00651B72" w:rsidP="00651B72">
      <w:pPr>
        <w:spacing w:line="480" w:lineRule="auto"/>
        <w:ind w:left="741" w:hanging="741"/>
      </w:pPr>
      <w:r w:rsidRPr="0038542F">
        <w:t xml:space="preserve">Dykstra, Robert R. 1968. </w:t>
      </w:r>
      <w:proofErr w:type="gramStart"/>
      <w:r w:rsidRPr="0038542F">
        <w:rPr>
          <w:i/>
        </w:rPr>
        <w:t>The Cattle Towns.</w:t>
      </w:r>
      <w:proofErr w:type="gramEnd"/>
      <w:r w:rsidRPr="0038542F">
        <w:rPr>
          <w:i/>
        </w:rPr>
        <w:t xml:space="preserve">  </w:t>
      </w:r>
      <w:r w:rsidRPr="0038542F">
        <w:t>NY: Knopf.</w:t>
      </w:r>
    </w:p>
    <w:p w:rsidR="0038542F" w:rsidRDefault="0038542F" w:rsidP="0038542F">
      <w:pPr>
        <w:spacing w:line="480" w:lineRule="auto"/>
        <w:ind w:left="741" w:hanging="741"/>
      </w:pPr>
      <w:r w:rsidRPr="0038542F">
        <w:t xml:space="preserve">Dykstra, Robert R. 2009. </w:t>
      </w:r>
      <w:proofErr w:type="gramStart"/>
      <w:r w:rsidRPr="0038542F">
        <w:t>“Quantifying the Wild West: The Problematic Statistics of Frontier Violence.”</w:t>
      </w:r>
      <w:proofErr w:type="gramEnd"/>
      <w:r w:rsidRPr="0038542F">
        <w:t xml:space="preserve"> </w:t>
      </w:r>
      <w:r w:rsidRPr="0038542F">
        <w:rPr>
          <w:i/>
        </w:rPr>
        <w:t>Western Historical Quarterly</w:t>
      </w:r>
      <w:r w:rsidRPr="0038542F">
        <w:t xml:space="preserve"> 40, 3 (</w:t>
      </w:r>
      <w:proofErr w:type="gramStart"/>
      <w:r w:rsidRPr="0038542F">
        <w:t>Autumn</w:t>
      </w:r>
      <w:proofErr w:type="gramEnd"/>
      <w:r w:rsidRPr="0038542F">
        <w:t>):321-347.</w:t>
      </w:r>
    </w:p>
    <w:p w:rsidR="00D20F91" w:rsidRPr="00D20F91" w:rsidRDefault="00D20F91" w:rsidP="0038542F">
      <w:pPr>
        <w:spacing w:line="480" w:lineRule="auto"/>
        <w:ind w:left="741" w:hanging="741"/>
      </w:pPr>
      <w:proofErr w:type="spellStart"/>
      <w:r>
        <w:t>Foner</w:t>
      </w:r>
      <w:proofErr w:type="spellEnd"/>
      <w:r>
        <w:t xml:space="preserve">, Eric. 1990. </w:t>
      </w:r>
      <w:r>
        <w:rPr>
          <w:i/>
        </w:rPr>
        <w:t>A Short History of Reconstruction, 1863-1877</w:t>
      </w:r>
      <w:r>
        <w:t xml:space="preserve"> (NY: Harper &amp; Row).</w:t>
      </w:r>
    </w:p>
    <w:p w:rsidR="004E28C0" w:rsidRDefault="004E28C0" w:rsidP="004E28C0">
      <w:pPr>
        <w:spacing w:line="480" w:lineRule="auto"/>
        <w:ind w:left="741" w:hanging="741"/>
      </w:pPr>
      <w:proofErr w:type="gramStart"/>
      <w:r>
        <w:t xml:space="preserve">Franzosi, Roberto, </w:t>
      </w:r>
      <w:proofErr w:type="spellStart"/>
      <w:r>
        <w:t>Gianluca</w:t>
      </w:r>
      <w:proofErr w:type="spellEnd"/>
      <w:r>
        <w:t xml:space="preserve"> De Fazio, and </w:t>
      </w:r>
      <w:proofErr w:type="spellStart"/>
      <w:r>
        <w:t>Stefania</w:t>
      </w:r>
      <w:proofErr w:type="spellEnd"/>
      <w:r>
        <w:t xml:space="preserve"> </w:t>
      </w:r>
      <w:proofErr w:type="spellStart"/>
      <w:r>
        <w:t>Vicari</w:t>
      </w:r>
      <w:proofErr w:type="spellEnd"/>
      <w:r>
        <w:t>.</w:t>
      </w:r>
      <w:proofErr w:type="gramEnd"/>
      <w:r>
        <w:t xml:space="preserve"> </w:t>
      </w:r>
      <w:proofErr w:type="gramStart"/>
      <w:r>
        <w:t>Forthcoming.</w:t>
      </w:r>
      <w:proofErr w:type="gramEnd"/>
      <w:r>
        <w:t xml:space="preserve"> “Ways of Measuring Agency: An Application of Quantitative Analysis to </w:t>
      </w:r>
      <w:proofErr w:type="spellStart"/>
      <w:r>
        <w:t>Lynchings</w:t>
      </w:r>
      <w:proofErr w:type="spellEnd"/>
      <w:r>
        <w:t xml:space="preserve"> in Jim Crow South.” </w:t>
      </w:r>
      <w:proofErr w:type="gramStart"/>
      <w:r>
        <w:rPr>
          <w:i/>
        </w:rPr>
        <w:t>Sociological Methodology</w:t>
      </w:r>
      <w:r>
        <w:t>.</w:t>
      </w:r>
      <w:proofErr w:type="gramEnd"/>
    </w:p>
    <w:p w:rsidR="004E28C0" w:rsidRDefault="004E28C0" w:rsidP="004E28C0">
      <w:pPr>
        <w:ind w:left="720" w:hanging="720"/>
      </w:pPr>
      <w:r w:rsidRPr="007426E9">
        <w:t>Hall</w:t>
      </w:r>
      <w:r>
        <w:t xml:space="preserve">, Thomas D. 1989. </w:t>
      </w:r>
      <w:r>
        <w:rPr>
          <w:i/>
        </w:rPr>
        <w:t>Social Change in the Southwest</w:t>
      </w:r>
      <w:proofErr w:type="gramStart"/>
      <w:r>
        <w:rPr>
          <w:i/>
        </w:rPr>
        <w:t>,1350</w:t>
      </w:r>
      <w:proofErr w:type="gramEnd"/>
      <w:r>
        <w:rPr>
          <w:i/>
        </w:rPr>
        <w:t>-1880</w:t>
      </w:r>
      <w:r>
        <w:t>. Lawrence: University Press of Kansas</w:t>
      </w:r>
    </w:p>
    <w:p w:rsidR="004E28C0" w:rsidRDefault="004E28C0" w:rsidP="004E28C0">
      <w:pPr>
        <w:ind w:left="720" w:hanging="720"/>
      </w:pPr>
    </w:p>
    <w:p w:rsidR="004E28C0" w:rsidRDefault="004E28C0" w:rsidP="004E28C0">
      <w:pPr>
        <w:spacing w:line="480" w:lineRule="auto"/>
        <w:ind w:left="741" w:hanging="741"/>
      </w:pPr>
      <w:r>
        <w:t xml:space="preserve">Hogan, Richard. 1990. </w:t>
      </w:r>
      <w:r>
        <w:rPr>
          <w:i/>
        </w:rPr>
        <w:t>Class and Community in Frontier Colorado.</w:t>
      </w:r>
      <w:r>
        <w:t xml:space="preserve"> Lawrence: University Press of Kansas.</w:t>
      </w:r>
    </w:p>
    <w:p w:rsidR="00130B09" w:rsidRDefault="00392F5A" w:rsidP="004E28C0">
      <w:pPr>
        <w:spacing w:line="480" w:lineRule="auto"/>
        <w:ind w:left="741" w:hanging="741"/>
      </w:pPr>
      <w:r w:rsidRPr="00392F5A">
        <w:t xml:space="preserve">Hogan, Richard. 2011. “Resisting Redemption: The Republican Vote in Georgia in 1876.” </w:t>
      </w:r>
      <w:r w:rsidRPr="00392F5A">
        <w:rPr>
          <w:i/>
        </w:rPr>
        <w:t>Social Science History</w:t>
      </w:r>
      <w:r w:rsidRPr="00392F5A">
        <w:t xml:space="preserve"> 35, 2 (summer):133-166.</w:t>
      </w:r>
    </w:p>
    <w:p w:rsidR="00651B72" w:rsidRPr="00651B72" w:rsidRDefault="00651B72" w:rsidP="004E28C0">
      <w:pPr>
        <w:spacing w:line="480" w:lineRule="auto"/>
        <w:ind w:left="741" w:hanging="741"/>
      </w:pPr>
      <w:r>
        <w:t xml:space="preserve">Johnson, Paul E. 1978. </w:t>
      </w:r>
      <w:proofErr w:type="gramStart"/>
      <w:r>
        <w:rPr>
          <w:i/>
        </w:rPr>
        <w:t>Shopkeepers’ Millennium</w:t>
      </w:r>
      <w:r>
        <w:t>.</w:t>
      </w:r>
      <w:proofErr w:type="gramEnd"/>
      <w:r>
        <w:t xml:space="preserve"> NY: Hill and Wang. </w:t>
      </w:r>
    </w:p>
    <w:p w:rsidR="007B0101" w:rsidRPr="00392F5A" w:rsidRDefault="007B0101" w:rsidP="004E28C0">
      <w:pPr>
        <w:spacing w:line="480" w:lineRule="auto"/>
        <w:ind w:left="741" w:hanging="741"/>
      </w:pPr>
      <w:proofErr w:type="spellStart"/>
      <w:r>
        <w:t>Kousser</w:t>
      </w:r>
      <w:proofErr w:type="spellEnd"/>
      <w:r>
        <w:t xml:space="preserve">, </w:t>
      </w:r>
      <w:r w:rsidR="00392F5A">
        <w:t xml:space="preserve">J. Morgan. 1974. </w:t>
      </w:r>
      <w:r w:rsidR="00392F5A">
        <w:rPr>
          <w:i/>
        </w:rPr>
        <w:t>The Shaping of Southern Politics: Suffrage Restriction and the Establishment of the One-Party South, 1880-1910</w:t>
      </w:r>
      <w:r w:rsidR="00392F5A">
        <w:t>. New Haven: Yale University Press.</w:t>
      </w:r>
    </w:p>
    <w:p w:rsidR="00130B09" w:rsidRDefault="004E28C0" w:rsidP="00130B09">
      <w:pPr>
        <w:spacing w:line="480" w:lineRule="auto"/>
        <w:ind w:left="741" w:hanging="741"/>
      </w:pPr>
      <w:r>
        <w:lastRenderedPageBreak/>
        <w:t xml:space="preserve">Leonard, Stephen J. 2002. </w:t>
      </w:r>
      <w:r>
        <w:rPr>
          <w:i/>
        </w:rPr>
        <w:t>Lynching in Colorado: 1859-1919</w:t>
      </w:r>
      <w:r>
        <w:t>. Boulder: University Press of Colorado.</w:t>
      </w:r>
    </w:p>
    <w:p w:rsidR="00C760C5" w:rsidRPr="00C760C5" w:rsidRDefault="00C760C5" w:rsidP="00130B09">
      <w:pPr>
        <w:spacing w:line="480" w:lineRule="auto"/>
        <w:ind w:left="741" w:hanging="741"/>
      </w:pPr>
      <w:r>
        <w:t xml:space="preserve">Limerick, Patricia Nelson. 1991. “What on Earth is the New Western History? Pp. 81-88 in Patricia Nelson Limerick, Clyde A. Milner II, and Charles E. Rankin (eds.), </w:t>
      </w:r>
      <w:r>
        <w:rPr>
          <w:i/>
        </w:rPr>
        <w:t>Trails: Toward a New Western History</w:t>
      </w:r>
      <w:r>
        <w:t>. Lawrence, KS: University Press of Kansas.</w:t>
      </w:r>
    </w:p>
    <w:p w:rsidR="004E28C0" w:rsidRPr="00C770E8" w:rsidRDefault="004E28C0" w:rsidP="00130B09">
      <w:pPr>
        <w:spacing w:line="480" w:lineRule="auto"/>
        <w:ind w:left="741" w:hanging="741"/>
      </w:pPr>
      <w:r>
        <w:t>McVeigh, Rory</w:t>
      </w:r>
      <w:r w:rsidR="00651B72">
        <w:t>. 2009</w:t>
      </w:r>
      <w:r>
        <w:t xml:space="preserve">. </w:t>
      </w:r>
      <w:r>
        <w:rPr>
          <w:i/>
        </w:rPr>
        <w:t>The Rise of th</w:t>
      </w:r>
      <w:r w:rsidR="00651B72">
        <w:rPr>
          <w:i/>
        </w:rPr>
        <w:t>e</w:t>
      </w:r>
      <w:r>
        <w:rPr>
          <w:i/>
        </w:rPr>
        <w:t xml:space="preserve"> Ku Klux Klan: Right-Wing Movements and National Politics</w:t>
      </w:r>
      <w:r>
        <w:t>. Minneapolis: University of Minnesota Press.</w:t>
      </w:r>
    </w:p>
    <w:p w:rsidR="004E28C0" w:rsidRDefault="004E28C0" w:rsidP="004E28C0">
      <w:pPr>
        <w:spacing w:line="480" w:lineRule="auto"/>
        <w:ind w:left="741" w:hanging="741"/>
      </w:pPr>
      <w:r>
        <w:t xml:space="preserve">Pfeifer, Michael J. 2011. </w:t>
      </w:r>
      <w:r>
        <w:rPr>
          <w:i/>
        </w:rPr>
        <w:t>The Roots of Rough Justice: Origins of American Lynching</w:t>
      </w:r>
      <w:r>
        <w:t>. Urbana: University of Illinois Press.</w:t>
      </w:r>
    </w:p>
    <w:p w:rsidR="00A2199D" w:rsidRDefault="00A2199D" w:rsidP="004E28C0">
      <w:pPr>
        <w:spacing w:line="480" w:lineRule="auto"/>
        <w:ind w:left="741" w:hanging="741"/>
      </w:pPr>
      <w:r>
        <w:t xml:space="preserve">Pfeifer, Michael J. </w:t>
      </w:r>
      <w:r w:rsidR="0090300B">
        <w:t xml:space="preserve">(editor) </w:t>
      </w:r>
      <w:r>
        <w:t>Forthcoming</w:t>
      </w:r>
      <w:r w:rsidR="00AC3EC8" w:rsidRPr="00AC3EC8">
        <w:rPr>
          <w:b/>
        </w:rPr>
        <w:t>.</w:t>
      </w:r>
      <w:r w:rsidR="0090300B">
        <w:rPr>
          <w:b/>
        </w:rPr>
        <w:t xml:space="preserve">  </w:t>
      </w:r>
      <w:r w:rsidR="0090300B" w:rsidRPr="0090300B">
        <w:rPr>
          <w:i/>
        </w:rPr>
        <w:t xml:space="preserve">Lynching </w:t>
      </w:r>
      <w:proofErr w:type="gramStart"/>
      <w:r w:rsidR="0090300B" w:rsidRPr="0090300B">
        <w:rPr>
          <w:i/>
        </w:rPr>
        <w:t>Beyond</w:t>
      </w:r>
      <w:proofErr w:type="gramEnd"/>
      <w:r w:rsidR="0090300B" w:rsidRPr="0090300B">
        <w:rPr>
          <w:i/>
        </w:rPr>
        <w:t xml:space="preserve"> Dixie</w:t>
      </w:r>
      <w:r w:rsidR="0090300B">
        <w:rPr>
          <w:b/>
          <w:i/>
        </w:rPr>
        <w:t xml:space="preserve">: </w:t>
      </w:r>
      <w:r w:rsidR="0090300B" w:rsidRPr="0090300B">
        <w:rPr>
          <w:i/>
        </w:rPr>
        <w:t xml:space="preserve">American </w:t>
      </w:r>
      <w:r w:rsidR="0090300B">
        <w:rPr>
          <w:i/>
        </w:rPr>
        <w:t>Mob Violence outside the South</w:t>
      </w:r>
      <w:r w:rsidR="0090300B">
        <w:t>.  Urbana: University of Illinois Press.</w:t>
      </w:r>
    </w:p>
    <w:p w:rsidR="00676AD2" w:rsidRPr="0090300B" w:rsidRDefault="00676AD2" w:rsidP="004E28C0">
      <w:pPr>
        <w:spacing w:line="480" w:lineRule="auto"/>
        <w:ind w:left="741" w:hanging="741"/>
      </w:pPr>
      <w:proofErr w:type="spellStart"/>
      <w:r>
        <w:t>Slatta</w:t>
      </w:r>
      <w:proofErr w:type="spellEnd"/>
      <w:r>
        <w:t xml:space="preserve">, Richard W. 2010. </w:t>
      </w:r>
      <w:proofErr w:type="gramStart"/>
      <w:r>
        <w:t>“Making and Unmaking Myths of the American Frontier.”</w:t>
      </w:r>
      <w:proofErr w:type="gramEnd"/>
      <w:r>
        <w:t xml:space="preserve"> </w:t>
      </w:r>
      <w:r w:rsidRPr="00676AD2">
        <w:rPr>
          <w:i/>
        </w:rPr>
        <w:t>European Journal of American Culture</w:t>
      </w:r>
      <w:r>
        <w:t xml:space="preserve"> 29, 2:81-92.</w:t>
      </w:r>
    </w:p>
    <w:p w:rsidR="00130B09" w:rsidRPr="00207487" w:rsidRDefault="00130B09" w:rsidP="0038542F">
      <w:pPr>
        <w:spacing w:line="480" w:lineRule="auto"/>
        <w:ind w:left="741" w:hanging="741"/>
      </w:pPr>
      <w:r>
        <w:t>Sumner</w:t>
      </w:r>
      <w:r w:rsidR="00B138BE">
        <w:t>, William. 1921</w:t>
      </w:r>
      <w:r w:rsidR="00AC3EC8">
        <w:t>.</w:t>
      </w:r>
      <w:r w:rsidR="00B138BE">
        <w:t xml:space="preserve"> “Folkways,” </w:t>
      </w:r>
      <w:r w:rsidR="00392F5A">
        <w:t>pp. 100-111</w:t>
      </w:r>
      <w:r w:rsidR="00B138BE">
        <w:t>,</w:t>
      </w:r>
      <w:r w:rsidR="00392F5A">
        <w:t xml:space="preserve"> in </w:t>
      </w:r>
      <w:r w:rsidR="00207487">
        <w:t xml:space="preserve">Robert E. </w:t>
      </w:r>
      <w:r w:rsidR="00392F5A">
        <w:t>Park</w:t>
      </w:r>
      <w:r w:rsidR="00207487">
        <w:t xml:space="preserve"> and Ernest W. Burgess (editors), </w:t>
      </w:r>
      <w:r w:rsidR="00207487">
        <w:rPr>
          <w:i/>
        </w:rPr>
        <w:t>Introduction to the Science of Sociology</w:t>
      </w:r>
      <w:r w:rsidR="00207487">
        <w:t xml:space="preserve">. </w:t>
      </w:r>
      <w:proofErr w:type="gramStart"/>
      <w:r w:rsidR="00207487">
        <w:t>University of Chicago Press.</w:t>
      </w:r>
      <w:proofErr w:type="gramEnd"/>
      <w:r w:rsidR="00207487">
        <w:t xml:space="preserve"> [</w:t>
      </w:r>
      <w:proofErr w:type="gramStart"/>
      <w:r w:rsidR="00207487">
        <w:t>reprinted</w:t>
      </w:r>
      <w:proofErr w:type="gramEnd"/>
      <w:r w:rsidR="00207487">
        <w:t xml:space="preserve"> from </w:t>
      </w:r>
      <w:r w:rsidR="00207487" w:rsidRPr="00207487">
        <w:t>William G. Sumner, </w:t>
      </w:r>
      <w:r w:rsidR="00207487" w:rsidRPr="00207487">
        <w:rPr>
          <w:i/>
          <w:iCs/>
        </w:rPr>
        <w:t>Folkways</w:t>
      </w:r>
      <w:r w:rsidR="00207487" w:rsidRPr="00207487">
        <w:t>, pp. 2-8.</w:t>
      </w:r>
      <w:r w:rsidR="00207487">
        <w:t xml:space="preserve"> </w:t>
      </w:r>
      <w:proofErr w:type="spellStart"/>
      <w:r w:rsidR="00207487" w:rsidRPr="00207487">
        <w:t>Ginn</w:t>
      </w:r>
      <w:proofErr w:type="spellEnd"/>
      <w:r w:rsidR="00207487" w:rsidRPr="00207487">
        <w:t xml:space="preserve"> &amp; Co., 1906.)</w:t>
      </w:r>
    </w:p>
    <w:p w:rsidR="005863EC" w:rsidRPr="005863EC" w:rsidRDefault="005863EC" w:rsidP="005863EC">
      <w:pPr>
        <w:spacing w:line="480" w:lineRule="auto"/>
        <w:ind w:left="741" w:hanging="741"/>
      </w:pPr>
      <w:proofErr w:type="spellStart"/>
      <w:r w:rsidRPr="005863EC">
        <w:t>Tarrow</w:t>
      </w:r>
      <w:proofErr w:type="spellEnd"/>
      <w:r w:rsidRPr="005863EC">
        <w:t xml:space="preserve">, Sidney. 1994. </w:t>
      </w:r>
      <w:r w:rsidRPr="005863EC">
        <w:rPr>
          <w:i/>
        </w:rPr>
        <w:t>Power in Movement: Social Movements, Collective Action, and Politics</w:t>
      </w:r>
      <w:r w:rsidRPr="005863EC">
        <w:t xml:space="preserve">. </w:t>
      </w:r>
      <w:proofErr w:type="gramStart"/>
      <w:r w:rsidRPr="005863EC">
        <w:t>Cambridge University Press.</w:t>
      </w:r>
      <w:proofErr w:type="gramEnd"/>
    </w:p>
    <w:p w:rsidR="00686C5F" w:rsidRDefault="00686C5F" w:rsidP="00686C5F">
      <w:pPr>
        <w:spacing w:line="480" w:lineRule="auto"/>
        <w:ind w:left="741" w:hanging="741"/>
        <w:rPr>
          <w:i/>
        </w:rPr>
      </w:pPr>
      <w:r>
        <w:t>Tilly, Charles. 1986</w:t>
      </w:r>
      <w:r w:rsidR="00AC3EC8">
        <w:t xml:space="preserve">. </w:t>
      </w:r>
      <w:r w:rsidR="00AC3EC8" w:rsidRPr="00AC3EC8">
        <w:rPr>
          <w:i/>
        </w:rPr>
        <w:t>The</w:t>
      </w:r>
      <w:r w:rsidR="00AC3EC8">
        <w:t xml:space="preserve"> </w:t>
      </w:r>
      <w:r w:rsidR="00AC3EC8">
        <w:rPr>
          <w:i/>
        </w:rPr>
        <w:t>Contentious French</w:t>
      </w:r>
      <w:r>
        <w:rPr>
          <w:i/>
        </w:rPr>
        <w:t xml:space="preserve">. </w:t>
      </w:r>
      <w:r>
        <w:t>Cambridge, MA: Harvard University Press.</w:t>
      </w:r>
    </w:p>
    <w:p w:rsidR="00207487" w:rsidRDefault="00AC3EC8" w:rsidP="00207487">
      <w:pPr>
        <w:spacing w:line="480" w:lineRule="auto"/>
        <w:ind w:left="741" w:hanging="741"/>
      </w:pPr>
      <w:r>
        <w:t>Tilly, Charles. 1995.</w:t>
      </w:r>
      <w:r w:rsidR="00F17BA0">
        <w:t xml:space="preserve"> </w:t>
      </w:r>
      <w:r w:rsidR="00686C5F">
        <w:rPr>
          <w:i/>
        </w:rPr>
        <w:t xml:space="preserve">Popular Contention in Great Britain, 1758-1834. </w:t>
      </w:r>
      <w:r w:rsidR="00686C5F">
        <w:t>Cambridge, MA: Harvard University Press.</w:t>
      </w:r>
    </w:p>
    <w:p w:rsidR="00C760C5" w:rsidRPr="00C760C5" w:rsidRDefault="00C760C5" w:rsidP="00207487">
      <w:pPr>
        <w:spacing w:line="480" w:lineRule="auto"/>
        <w:ind w:left="741" w:hanging="741"/>
      </w:pPr>
      <w:r>
        <w:t xml:space="preserve">Tilly, Charles. 1997. </w:t>
      </w:r>
      <w:r>
        <w:rPr>
          <w:i/>
        </w:rPr>
        <w:t xml:space="preserve">Roads from Past to Future. </w:t>
      </w:r>
      <w:r>
        <w:t xml:space="preserve">Lanham, MD: </w:t>
      </w:r>
      <w:proofErr w:type="spellStart"/>
      <w:r>
        <w:t>Rowman</w:t>
      </w:r>
      <w:proofErr w:type="spellEnd"/>
      <w:r>
        <w:t xml:space="preserve"> &amp; Littlefield. </w:t>
      </w:r>
    </w:p>
    <w:p w:rsidR="00207487" w:rsidRDefault="00F17BA0" w:rsidP="00207487">
      <w:pPr>
        <w:spacing w:line="480" w:lineRule="auto"/>
        <w:ind w:left="741" w:hanging="741"/>
        <w:rPr>
          <w:i/>
        </w:rPr>
      </w:pPr>
      <w:r>
        <w:rPr>
          <w:rFonts w:eastAsia="MS Mincho"/>
        </w:rPr>
        <w:lastRenderedPageBreak/>
        <w:t xml:space="preserve">Tilly, Charles. 2004.  </w:t>
      </w:r>
      <w:r>
        <w:rPr>
          <w:rFonts w:eastAsia="MS Mincho"/>
          <w:i/>
        </w:rPr>
        <w:t>Social Movements, 1768-2004.</w:t>
      </w:r>
      <w:r w:rsidR="00B750D8">
        <w:rPr>
          <w:rFonts w:eastAsia="MS Mincho"/>
          <w:i/>
        </w:rPr>
        <w:t xml:space="preserve"> </w:t>
      </w:r>
      <w:r w:rsidR="00207487">
        <w:rPr>
          <w:rFonts w:eastAsia="MS Mincho"/>
        </w:rPr>
        <w:t xml:space="preserve">Boulder, CO: </w:t>
      </w:r>
      <w:r>
        <w:rPr>
          <w:rFonts w:eastAsia="MS Mincho"/>
        </w:rPr>
        <w:t xml:space="preserve"> Paradigm Publishers.</w:t>
      </w:r>
    </w:p>
    <w:p w:rsidR="005863EC" w:rsidRDefault="005863EC" w:rsidP="005863EC">
      <w:pPr>
        <w:spacing w:line="480" w:lineRule="auto"/>
        <w:ind w:left="741" w:hanging="741"/>
      </w:pPr>
      <w:proofErr w:type="spellStart"/>
      <w:proofErr w:type="gramStart"/>
      <w:r w:rsidRPr="0038542F">
        <w:t>Tolnay</w:t>
      </w:r>
      <w:proofErr w:type="spellEnd"/>
      <w:r w:rsidRPr="0038542F">
        <w:t>, Stewart E. and E. M. Beck.</w:t>
      </w:r>
      <w:proofErr w:type="gramEnd"/>
      <w:r w:rsidRPr="0038542F">
        <w:t xml:space="preserve"> 1995. </w:t>
      </w:r>
      <w:r w:rsidRPr="0038542F">
        <w:rPr>
          <w:i/>
        </w:rPr>
        <w:t>A Festival of Violence: An Analysis of Southern Lynching, 1880-1930</w:t>
      </w:r>
      <w:r w:rsidRPr="0038542F">
        <w:t>. Urb</w:t>
      </w:r>
      <w:r>
        <w:t>ana: University Illinois Press.</w:t>
      </w:r>
    </w:p>
    <w:p w:rsidR="00F8756E" w:rsidRPr="00F8756E" w:rsidRDefault="004E28C0" w:rsidP="00144AD0">
      <w:pPr>
        <w:spacing w:line="480" w:lineRule="auto"/>
        <w:ind w:left="741" w:hanging="741"/>
      </w:pPr>
      <w:r>
        <w:t>Weber, Max. 1978.</w:t>
      </w:r>
      <w:r w:rsidR="00130B09">
        <w:t xml:space="preserve"> </w:t>
      </w:r>
      <w:r>
        <w:rPr>
          <w:i/>
        </w:rPr>
        <w:t>Economy and Society</w:t>
      </w:r>
      <w:r>
        <w:t xml:space="preserve">. Berkeley: </w:t>
      </w:r>
      <w:r w:rsidR="00466D49">
        <w:t>University of California Press.</w:t>
      </w:r>
    </w:p>
    <w:sectPr w:rsidR="00F8756E" w:rsidRPr="00F8756E" w:rsidSect="007A25BE">
      <w:footerReference w:type="default" r:id="rId19"/>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0C5" w:rsidRDefault="00C760C5" w:rsidP="007221A5">
      <w:r>
        <w:separator/>
      </w:r>
    </w:p>
  </w:endnote>
  <w:endnote w:type="continuationSeparator" w:id="0">
    <w:p w:rsidR="00C760C5" w:rsidRDefault="00C760C5" w:rsidP="00722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Lucida Grande">
    <w:altName w:val="Times New Roman"/>
    <w:charset w:val="00"/>
    <w:family w:val="roman"/>
    <w:pitch w:val="default"/>
  </w:font>
  <w:font w:name="ヒラギノ角ゴ Pro W3">
    <w:altName w:val="Times New Roman"/>
    <w:charset w:val="00"/>
    <w:family w:val="roman"/>
    <w:pitch w:val="default"/>
  </w:font>
  <w:font w:name="Courier New">
    <w:panose1 w:val="02070309020205020404"/>
    <w:charset w:val="00"/>
    <w:family w:val="modern"/>
    <w:pitch w:val="fixed"/>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7337182"/>
      <w:docPartObj>
        <w:docPartGallery w:val="Page Numbers (Bottom of Page)"/>
        <w:docPartUnique/>
      </w:docPartObj>
    </w:sdtPr>
    <w:sdtEndPr>
      <w:rPr>
        <w:noProof/>
      </w:rPr>
    </w:sdtEndPr>
    <w:sdtContent>
      <w:p w:rsidR="00C760C5" w:rsidRDefault="00C760C5">
        <w:pPr>
          <w:pStyle w:val="Footer"/>
          <w:jc w:val="center"/>
        </w:pPr>
      </w:p>
      <w:p w:rsidR="00C760C5" w:rsidRDefault="00C760C5">
        <w:pPr>
          <w:pStyle w:val="Footer"/>
          <w:jc w:val="center"/>
        </w:pPr>
      </w:p>
      <w:p w:rsidR="00C760C5" w:rsidRDefault="00C760C5">
        <w:pPr>
          <w:pStyle w:val="Footer"/>
          <w:jc w:val="center"/>
        </w:pPr>
        <w:r>
          <w:fldChar w:fldCharType="begin"/>
        </w:r>
        <w:r>
          <w:instrText xml:space="preserve"> PAGE   \* MERGEFORMAT </w:instrText>
        </w:r>
        <w:r>
          <w:fldChar w:fldCharType="separate"/>
        </w:r>
        <w:r w:rsidR="00862519">
          <w:rPr>
            <w:noProof/>
          </w:rPr>
          <w:t>46</w:t>
        </w:r>
        <w:r>
          <w:rPr>
            <w:noProof/>
          </w:rPr>
          <w:fldChar w:fldCharType="end"/>
        </w:r>
      </w:p>
    </w:sdtContent>
  </w:sdt>
  <w:p w:rsidR="00C760C5" w:rsidRDefault="00C760C5">
    <w:pPr>
      <w:pStyle w:val="Footer"/>
    </w:pPr>
  </w:p>
  <w:p w:rsidR="00C760C5" w:rsidRDefault="00C760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0C5" w:rsidRDefault="00C760C5" w:rsidP="007221A5">
      <w:r>
        <w:separator/>
      </w:r>
    </w:p>
  </w:footnote>
  <w:footnote w:type="continuationSeparator" w:id="0">
    <w:p w:rsidR="00C760C5" w:rsidRDefault="00C760C5" w:rsidP="007221A5">
      <w:r>
        <w:continuationSeparator/>
      </w:r>
    </w:p>
  </w:footnote>
  <w:footnote w:id="1">
    <w:p w:rsidR="00C760C5" w:rsidRPr="008B1A6A" w:rsidRDefault="00C760C5" w:rsidP="008B1A6A">
      <w:pPr>
        <w:pStyle w:val="FootnoteText"/>
      </w:pPr>
      <w:r>
        <w:rPr>
          <w:rStyle w:val="FootnoteReference"/>
        </w:rPr>
        <w:footnoteRef/>
      </w:r>
      <w:r>
        <w:t xml:space="preserve"> J. Morgan </w:t>
      </w:r>
      <w:proofErr w:type="spellStart"/>
      <w:r>
        <w:t>Kousser</w:t>
      </w:r>
      <w:proofErr w:type="spellEnd"/>
      <w:r>
        <w:t xml:space="preserve"> (private communication) has suggested that political interests would suffice—there is no need to limit lynching to the defense of law or tradition.  </w:t>
      </w:r>
      <w:r w:rsidRPr="008B1A6A">
        <w:t>Sumner (1921) distinguishes folkways, mores and laws.  Lynching is, according to sociologists, the way (or one way) in which vigilantes enforce mores or laws.  By definition, lynching would not defend folkways or traditional practices, which become mores when they are defended with coercive or punitive sanctions.</w:t>
      </w:r>
    </w:p>
    <w:p w:rsidR="00C760C5" w:rsidRDefault="00C760C5">
      <w:pPr>
        <w:pStyle w:val="FootnoteText"/>
      </w:pPr>
    </w:p>
  </w:footnote>
  <w:footnote w:id="2">
    <w:p w:rsidR="00C760C5" w:rsidRDefault="00C760C5" w:rsidP="00054A0A">
      <w:pPr>
        <w:pStyle w:val="FootnoteText"/>
      </w:pPr>
      <w:r>
        <w:rPr>
          <w:rStyle w:val="FootnoteReference"/>
        </w:rPr>
        <w:footnoteRef/>
      </w:r>
      <w:r>
        <w:t xml:space="preserve"> We have the methodology required to separate these actions and actors.   Franzosi et al. (forthcoming) would probably code (1) the trial, (2) the seizure after the trial, (3) the forced confession, (4) the hanging, and (5) the whipping as five separate actions that involved four sets of perpetrators: (1) the trial officials, (2) the mob that seized the acquitted, (3) the posse that pursued his associates, and (4) the mob that hanged him and whipped him.  The posse would not be associated with an event, since they failed to find the suspects, and the same mob (actor 2) would be associated with the seizure (action 2) and the forced confession (action 3), two separate actions that constitute a single event.  A second mob (actor 4) would be associated with the hanging and whipping (actions 4-5), which occurred after the posse returned, but would probably be considered part of the same event.  This coding scheme would allow us to distinguish four actors, five actions, and three events (including the trial as a single event), but this still begs the theoretical question of how we should conceptualize these elements and how we should distinguish them categorically.</w:t>
      </w:r>
    </w:p>
  </w:footnote>
  <w:footnote w:id="3">
    <w:p w:rsidR="00C760C5" w:rsidRDefault="00C760C5">
      <w:pPr>
        <w:pStyle w:val="FootnoteText"/>
      </w:pPr>
      <w:r>
        <w:rPr>
          <w:rStyle w:val="FootnoteReference"/>
        </w:rPr>
        <w:footnoteRef/>
      </w:r>
      <w:r>
        <w:t xml:space="preserve"> Stephen Leonard (private communication) agrees that the executions sanctioned by the People’s Court, if not by the Denver Vigilance Committee, might not be lynching, as that term is generally used.  Hogan (1990, p. 29) considers both as part of the People’s Government, as opposed to vigilantes.</w:t>
      </w:r>
    </w:p>
  </w:footnote>
  <w:footnote w:id="4">
    <w:p w:rsidR="00C760C5" w:rsidRDefault="00C760C5">
      <w:pPr>
        <w:pStyle w:val="FootnoteText"/>
      </w:pPr>
      <w:r>
        <w:rPr>
          <w:rStyle w:val="FootnoteReference"/>
        </w:rPr>
        <w:footnoteRef/>
      </w:r>
      <w:r>
        <w:t xml:space="preserve"> One might argue that this vigilante was not flaunting the authority of the police, although he was advised, by the 911 operator, to cease his pursuit of the suspect.  On these grounds we might argue that Neighborhood Watch is not necessarily vigilantism, so long as it acts as an agent for authorities.  Like the posse, these agents can become vigilantes and even lynch mobs.  In this case, however, there was only one perpetrator and one victim.</w:t>
      </w:r>
    </w:p>
  </w:footnote>
  <w:footnote w:id="5">
    <w:p w:rsidR="00C760C5" w:rsidRDefault="00C760C5">
      <w:pPr>
        <w:pStyle w:val="FootnoteText"/>
      </w:pPr>
      <w:r>
        <w:rPr>
          <w:rStyle w:val="FootnoteReference"/>
        </w:rPr>
        <w:footnoteRef/>
      </w:r>
      <w:r>
        <w:t xml:space="preserve"> </w:t>
      </w:r>
      <w:r w:rsidRPr="008F7179">
        <w:t>Nevertheless, when reporting Leonard’s (2002) data</w:t>
      </w:r>
      <w:r>
        <w:t>, below,</w:t>
      </w:r>
      <w:r w:rsidRPr="008F7179">
        <w:t xml:space="preserve"> we will include the legalistic if not legal executions of the People’s Court as lynching events or victimizations, because Leonard (2002) does so.</w:t>
      </w:r>
    </w:p>
  </w:footnote>
  <w:footnote w:id="6">
    <w:p w:rsidR="0028266D" w:rsidRDefault="00C760C5">
      <w:pPr>
        <w:pStyle w:val="FootnoteText"/>
      </w:pPr>
      <w:r>
        <w:rPr>
          <w:rStyle w:val="FootnoteReference"/>
        </w:rPr>
        <w:footnoteRef/>
      </w:r>
      <w:r>
        <w:t xml:space="preserve"> One might ask, but what about the “new” Western history of the Nineties? (Limerick 1991)  Here I would be more inclined to follow the “new” social science history of the late 1970s (Tilly 1997).</w:t>
      </w:r>
    </w:p>
  </w:footnote>
  <w:footnote w:id="7">
    <w:p w:rsidR="0028266D" w:rsidRDefault="0028266D">
      <w:pPr>
        <w:pStyle w:val="FootnoteText"/>
      </w:pPr>
      <w:r>
        <w:rPr>
          <w:rStyle w:val="FootnoteReference"/>
        </w:rPr>
        <w:footnoteRef/>
      </w:r>
      <w:r>
        <w:t xml:space="preserve"> </w:t>
      </w:r>
      <w:proofErr w:type="spellStart"/>
      <w:r>
        <w:t>Kousser</w:t>
      </w:r>
      <w:proofErr w:type="spellEnd"/>
      <w:r>
        <w:t xml:space="preserve"> (personal communication) asks about political interests.  My inclination, following Weber (1968) is to see all contention as political, sometimes motivated by status interests, sometimes more by class interests, sometimes by both and sometimes by purely political interests.</w:t>
      </w:r>
    </w:p>
  </w:footnote>
  <w:footnote w:id="8">
    <w:p w:rsidR="00C760C5" w:rsidRDefault="00C760C5">
      <w:pPr>
        <w:pStyle w:val="FootnoteText"/>
      </w:pPr>
      <w:r>
        <w:rPr>
          <w:rStyle w:val="FootnoteReference"/>
        </w:rPr>
        <w:footnoteRef/>
      </w:r>
      <w:r>
        <w:t xml:space="preserve"> Terrorism simply refers to efforts to coerce at least tacit compliance through violence and the threat of violence, indicating the willingness to kill even women and children toward this end.  As indicated above, vigilantism might or might not include terrorism.  As will become apparent, lynching virtually always does.</w:t>
      </w:r>
    </w:p>
  </w:footnote>
  <w:footnote w:id="9">
    <w:p w:rsidR="00C760C5" w:rsidRPr="007E3C81" w:rsidRDefault="00C760C5" w:rsidP="007E3C81">
      <w:pPr>
        <w:pStyle w:val="FootnoteText"/>
      </w:pPr>
      <w:r>
        <w:rPr>
          <w:rStyle w:val="FootnoteReference"/>
        </w:rPr>
        <w:footnoteRef/>
      </w:r>
      <w:r>
        <w:t xml:space="preserve"> </w:t>
      </w:r>
      <w:r w:rsidRPr="007E3C81">
        <w:t>Professor Leonard provided a Microsoft Excel worksheet with 204 victims, from which 186 cases listed in Leonard (2002) were identified.  These were supplemented with nine cases listed in the book but not in the worksheet.  One case had no indication of the year of victimization, so it is not included in Table 2.</w:t>
      </w:r>
    </w:p>
    <w:p w:rsidR="00C760C5" w:rsidRDefault="00C760C5">
      <w:pPr>
        <w:pStyle w:val="FootnoteText"/>
      </w:pPr>
    </w:p>
  </w:footnote>
  <w:footnote w:id="10">
    <w:p w:rsidR="00C760C5" w:rsidRDefault="00C760C5">
      <w:pPr>
        <w:pStyle w:val="FootnoteText"/>
      </w:pPr>
      <w:r>
        <w:rPr>
          <w:rStyle w:val="FootnoteReference"/>
        </w:rPr>
        <w:footnoteRef/>
      </w:r>
      <w:r>
        <w:t xml:space="preserve"> </w:t>
      </w:r>
      <w:proofErr w:type="gramStart"/>
      <w:r>
        <w:t>Sometimes identified as Sam Hose.</w:t>
      </w:r>
      <w:proofErr w:type="gramEnd"/>
    </w:p>
  </w:footnote>
  <w:footnote w:id="11">
    <w:p w:rsidR="00C760C5" w:rsidRDefault="00C760C5">
      <w:pPr>
        <w:pStyle w:val="FootnoteText"/>
      </w:pPr>
      <w:r>
        <w:rPr>
          <w:rStyle w:val="FootnoteReference"/>
        </w:rPr>
        <w:footnoteRef/>
      </w:r>
      <w:r>
        <w:t xml:space="preserve"> As defined above, most of these events would not be </w:t>
      </w:r>
      <w:proofErr w:type="spellStart"/>
      <w:r>
        <w:t>lynchings</w:t>
      </w:r>
      <w:proofErr w:type="spellEnd"/>
      <w:r>
        <w:t xml:space="preserve"> although most would be vigilantism.  Theoretically, they represent a transition from plantation flogging and raping disobedient slaves to lynching in the Post-Populist Era.</w:t>
      </w:r>
    </w:p>
  </w:footnote>
  <w:footnote w:id="12">
    <w:p w:rsidR="00C760C5" w:rsidRDefault="00C760C5" w:rsidP="00D82D16">
      <w:pPr>
        <w:pStyle w:val="FootnoteText"/>
      </w:pPr>
      <w:r>
        <w:rPr>
          <w:rStyle w:val="FootnoteReference"/>
        </w:rPr>
        <w:footnoteRef/>
      </w:r>
      <w:r>
        <w:t xml:space="preserve"> </w:t>
      </w:r>
      <w:proofErr w:type="spellStart"/>
      <w:r>
        <w:t>Kousser</w:t>
      </w:r>
      <w:proofErr w:type="spellEnd"/>
      <w:r>
        <w:t xml:space="preserve"> (private communication) considers this an oxymoron, but the Smiley quote (above) illustrates the nature of this phenomenon.  Almost everyone who was anyone in Denver in 1860 knew the nine members of the Vigilance Committee and most could have guessed at the members of the posse and even the identity of the four assassins.  Nevertheless, it was understood that this was a secret.</w:t>
      </w:r>
    </w:p>
  </w:footnote>
  <w:footnote w:id="13">
    <w:p w:rsidR="00C760C5" w:rsidRDefault="00C760C5">
      <w:pPr>
        <w:pStyle w:val="FootnoteText"/>
      </w:pPr>
      <w:r>
        <w:rPr>
          <w:rStyle w:val="FootnoteReference"/>
        </w:rPr>
        <w:footnoteRef/>
      </w:r>
      <w:r>
        <w:t xml:space="preserve"> </w:t>
      </w:r>
      <w:proofErr w:type="spellStart"/>
      <w:r>
        <w:t>Kousser</w:t>
      </w:r>
      <w:proofErr w:type="spellEnd"/>
      <w:r>
        <w:t xml:space="preserve"> (private communication) maintains that any threat to the status quo could be legitimated on these grounds, but the distinction between the episodic and ad-hoc remains. </w:t>
      </w:r>
    </w:p>
  </w:footnote>
  <w:footnote w:id="14">
    <w:p w:rsidR="00C760C5" w:rsidRDefault="00C760C5">
      <w:pPr>
        <w:pStyle w:val="FootnoteText"/>
      </w:pPr>
      <w:r>
        <w:rPr>
          <w:rStyle w:val="FootnoteReference"/>
        </w:rPr>
        <w:footnoteRef/>
      </w:r>
      <w:r>
        <w:t xml:space="preserve"> There were virtually no limits on white suffrage in Georgia, even in the Constitution of 1868, which was essentially a Republican document.  Yet even in Georgia whites felt threatened by black suffrage and particularly by blacks serving as government officials.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NotTrackMoves/>
  <w:doNotTrackFormatting/>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0F5"/>
    <w:rsid w:val="000143C7"/>
    <w:rsid w:val="00022453"/>
    <w:rsid w:val="000249F2"/>
    <w:rsid w:val="000445EE"/>
    <w:rsid w:val="00054A0A"/>
    <w:rsid w:val="00061EB3"/>
    <w:rsid w:val="000716DF"/>
    <w:rsid w:val="0009374C"/>
    <w:rsid w:val="000C5971"/>
    <w:rsid w:val="000F47B0"/>
    <w:rsid w:val="0011421C"/>
    <w:rsid w:val="00125D4C"/>
    <w:rsid w:val="001262A4"/>
    <w:rsid w:val="00130B09"/>
    <w:rsid w:val="00144AD0"/>
    <w:rsid w:val="0015025E"/>
    <w:rsid w:val="0016680C"/>
    <w:rsid w:val="00190581"/>
    <w:rsid w:val="00190A86"/>
    <w:rsid w:val="001A044D"/>
    <w:rsid w:val="001A297F"/>
    <w:rsid w:val="001B42F4"/>
    <w:rsid w:val="001B5B39"/>
    <w:rsid w:val="001C538E"/>
    <w:rsid w:val="001C6C1C"/>
    <w:rsid w:val="001D24AF"/>
    <w:rsid w:val="001E07F6"/>
    <w:rsid w:val="001E0EF2"/>
    <w:rsid w:val="00207487"/>
    <w:rsid w:val="0021319F"/>
    <w:rsid w:val="00220A0E"/>
    <w:rsid w:val="002353BF"/>
    <w:rsid w:val="002461EC"/>
    <w:rsid w:val="00250603"/>
    <w:rsid w:val="00260CFF"/>
    <w:rsid w:val="00262AC4"/>
    <w:rsid w:val="0026709B"/>
    <w:rsid w:val="0026738E"/>
    <w:rsid w:val="002729DB"/>
    <w:rsid w:val="002757B0"/>
    <w:rsid w:val="002759DC"/>
    <w:rsid w:val="0028266D"/>
    <w:rsid w:val="002864BB"/>
    <w:rsid w:val="00287427"/>
    <w:rsid w:val="0029045F"/>
    <w:rsid w:val="00290FCD"/>
    <w:rsid w:val="00294C53"/>
    <w:rsid w:val="00295A0A"/>
    <w:rsid w:val="002B166D"/>
    <w:rsid w:val="002B4C0C"/>
    <w:rsid w:val="002E1347"/>
    <w:rsid w:val="002E4AB0"/>
    <w:rsid w:val="002E6A2A"/>
    <w:rsid w:val="00314FB8"/>
    <w:rsid w:val="00317CDE"/>
    <w:rsid w:val="003272F9"/>
    <w:rsid w:val="00331AEF"/>
    <w:rsid w:val="0033356E"/>
    <w:rsid w:val="00343AEE"/>
    <w:rsid w:val="00374206"/>
    <w:rsid w:val="003753F0"/>
    <w:rsid w:val="00381B15"/>
    <w:rsid w:val="0038506C"/>
    <w:rsid w:val="0038542F"/>
    <w:rsid w:val="00386450"/>
    <w:rsid w:val="00390FA0"/>
    <w:rsid w:val="0039112A"/>
    <w:rsid w:val="00392F5A"/>
    <w:rsid w:val="003A29E7"/>
    <w:rsid w:val="003C13E8"/>
    <w:rsid w:val="003D204D"/>
    <w:rsid w:val="003E7DF1"/>
    <w:rsid w:val="003F120A"/>
    <w:rsid w:val="00402B0F"/>
    <w:rsid w:val="00434935"/>
    <w:rsid w:val="00440491"/>
    <w:rsid w:val="00443AC1"/>
    <w:rsid w:val="004452D9"/>
    <w:rsid w:val="00445D0A"/>
    <w:rsid w:val="00466D0D"/>
    <w:rsid w:val="00466D49"/>
    <w:rsid w:val="004812A3"/>
    <w:rsid w:val="00484C6C"/>
    <w:rsid w:val="004941EA"/>
    <w:rsid w:val="00494719"/>
    <w:rsid w:val="004956C6"/>
    <w:rsid w:val="004964DC"/>
    <w:rsid w:val="004974AE"/>
    <w:rsid w:val="004A3950"/>
    <w:rsid w:val="004B3ABF"/>
    <w:rsid w:val="004C0791"/>
    <w:rsid w:val="004E28C0"/>
    <w:rsid w:val="004E60AD"/>
    <w:rsid w:val="004F61EB"/>
    <w:rsid w:val="005005BA"/>
    <w:rsid w:val="005265C3"/>
    <w:rsid w:val="0054727E"/>
    <w:rsid w:val="005550FC"/>
    <w:rsid w:val="00582FD8"/>
    <w:rsid w:val="005863EC"/>
    <w:rsid w:val="005951A9"/>
    <w:rsid w:val="005B6235"/>
    <w:rsid w:val="005B6F47"/>
    <w:rsid w:val="005E1ECF"/>
    <w:rsid w:val="005F1860"/>
    <w:rsid w:val="005F7EE0"/>
    <w:rsid w:val="00602E03"/>
    <w:rsid w:val="0060538B"/>
    <w:rsid w:val="00623B2C"/>
    <w:rsid w:val="00630124"/>
    <w:rsid w:val="00635C93"/>
    <w:rsid w:val="00651B72"/>
    <w:rsid w:val="00654D16"/>
    <w:rsid w:val="006557CE"/>
    <w:rsid w:val="0066335A"/>
    <w:rsid w:val="00676AD2"/>
    <w:rsid w:val="006810C7"/>
    <w:rsid w:val="00686C5F"/>
    <w:rsid w:val="0069084F"/>
    <w:rsid w:val="006977AA"/>
    <w:rsid w:val="006C392B"/>
    <w:rsid w:val="006F3E4B"/>
    <w:rsid w:val="007107D8"/>
    <w:rsid w:val="0071488D"/>
    <w:rsid w:val="00716597"/>
    <w:rsid w:val="007221A5"/>
    <w:rsid w:val="007225B4"/>
    <w:rsid w:val="00724E36"/>
    <w:rsid w:val="007272E0"/>
    <w:rsid w:val="0073161F"/>
    <w:rsid w:val="00733F39"/>
    <w:rsid w:val="007426FF"/>
    <w:rsid w:val="007714C4"/>
    <w:rsid w:val="00790E5F"/>
    <w:rsid w:val="007A25BE"/>
    <w:rsid w:val="007B0101"/>
    <w:rsid w:val="007B1CD2"/>
    <w:rsid w:val="007B2A32"/>
    <w:rsid w:val="007B42AA"/>
    <w:rsid w:val="007B444D"/>
    <w:rsid w:val="007B5AF4"/>
    <w:rsid w:val="007C090E"/>
    <w:rsid w:val="007C1415"/>
    <w:rsid w:val="007C3A1B"/>
    <w:rsid w:val="007D415E"/>
    <w:rsid w:val="007E3C81"/>
    <w:rsid w:val="007E72CD"/>
    <w:rsid w:val="007E7959"/>
    <w:rsid w:val="007F070B"/>
    <w:rsid w:val="007F6BBF"/>
    <w:rsid w:val="00813B8F"/>
    <w:rsid w:val="008168E7"/>
    <w:rsid w:val="00823C2C"/>
    <w:rsid w:val="0083497D"/>
    <w:rsid w:val="00835AD8"/>
    <w:rsid w:val="0084031B"/>
    <w:rsid w:val="0084360D"/>
    <w:rsid w:val="00844638"/>
    <w:rsid w:val="00862519"/>
    <w:rsid w:val="0086320E"/>
    <w:rsid w:val="00893217"/>
    <w:rsid w:val="00895AC2"/>
    <w:rsid w:val="008A3735"/>
    <w:rsid w:val="008B1A6A"/>
    <w:rsid w:val="008B2A8F"/>
    <w:rsid w:val="008D399E"/>
    <w:rsid w:val="008E3577"/>
    <w:rsid w:val="008E4DDF"/>
    <w:rsid w:val="008F7179"/>
    <w:rsid w:val="0090300B"/>
    <w:rsid w:val="00906508"/>
    <w:rsid w:val="00907940"/>
    <w:rsid w:val="00911C38"/>
    <w:rsid w:val="00913A67"/>
    <w:rsid w:val="0091441B"/>
    <w:rsid w:val="0092144A"/>
    <w:rsid w:val="00930B55"/>
    <w:rsid w:val="009443AF"/>
    <w:rsid w:val="00944854"/>
    <w:rsid w:val="009462DA"/>
    <w:rsid w:val="00950CE1"/>
    <w:rsid w:val="00977476"/>
    <w:rsid w:val="009779A8"/>
    <w:rsid w:val="00985C7A"/>
    <w:rsid w:val="00996DAE"/>
    <w:rsid w:val="009A2D54"/>
    <w:rsid w:val="009A5B39"/>
    <w:rsid w:val="009B7070"/>
    <w:rsid w:val="009B7613"/>
    <w:rsid w:val="009C0279"/>
    <w:rsid w:val="009D06F8"/>
    <w:rsid w:val="009D6382"/>
    <w:rsid w:val="009F5AD7"/>
    <w:rsid w:val="00A008A3"/>
    <w:rsid w:val="00A044C3"/>
    <w:rsid w:val="00A15217"/>
    <w:rsid w:val="00A2199D"/>
    <w:rsid w:val="00A264FF"/>
    <w:rsid w:val="00A2792C"/>
    <w:rsid w:val="00A43D00"/>
    <w:rsid w:val="00A467DD"/>
    <w:rsid w:val="00A65C2B"/>
    <w:rsid w:val="00A660DD"/>
    <w:rsid w:val="00A77AF1"/>
    <w:rsid w:val="00A833B0"/>
    <w:rsid w:val="00A94D38"/>
    <w:rsid w:val="00AA28FF"/>
    <w:rsid w:val="00AB3709"/>
    <w:rsid w:val="00AC3EC8"/>
    <w:rsid w:val="00AE506C"/>
    <w:rsid w:val="00AF0D11"/>
    <w:rsid w:val="00B04C68"/>
    <w:rsid w:val="00B04DC1"/>
    <w:rsid w:val="00B138BE"/>
    <w:rsid w:val="00B320FF"/>
    <w:rsid w:val="00B513CC"/>
    <w:rsid w:val="00B655F2"/>
    <w:rsid w:val="00B67AF4"/>
    <w:rsid w:val="00B72CF9"/>
    <w:rsid w:val="00B741B9"/>
    <w:rsid w:val="00B750D8"/>
    <w:rsid w:val="00B80805"/>
    <w:rsid w:val="00BB49BD"/>
    <w:rsid w:val="00BB4BD8"/>
    <w:rsid w:val="00BB60A1"/>
    <w:rsid w:val="00BB7E58"/>
    <w:rsid w:val="00BD5F43"/>
    <w:rsid w:val="00BE613F"/>
    <w:rsid w:val="00BF165D"/>
    <w:rsid w:val="00BF18FD"/>
    <w:rsid w:val="00C0155D"/>
    <w:rsid w:val="00C03C03"/>
    <w:rsid w:val="00C21B57"/>
    <w:rsid w:val="00C30B08"/>
    <w:rsid w:val="00C4342C"/>
    <w:rsid w:val="00C461A2"/>
    <w:rsid w:val="00C468A7"/>
    <w:rsid w:val="00C54D57"/>
    <w:rsid w:val="00C55620"/>
    <w:rsid w:val="00C6205D"/>
    <w:rsid w:val="00C64473"/>
    <w:rsid w:val="00C647D2"/>
    <w:rsid w:val="00C65D4F"/>
    <w:rsid w:val="00C760C5"/>
    <w:rsid w:val="00C8284A"/>
    <w:rsid w:val="00C859B2"/>
    <w:rsid w:val="00C87F9C"/>
    <w:rsid w:val="00C95A82"/>
    <w:rsid w:val="00C979A1"/>
    <w:rsid w:val="00CA752E"/>
    <w:rsid w:val="00CD2F55"/>
    <w:rsid w:val="00CD54CB"/>
    <w:rsid w:val="00CE56A6"/>
    <w:rsid w:val="00CE6FB2"/>
    <w:rsid w:val="00D20F91"/>
    <w:rsid w:val="00D242F4"/>
    <w:rsid w:val="00D266B7"/>
    <w:rsid w:val="00D41EAE"/>
    <w:rsid w:val="00D432A8"/>
    <w:rsid w:val="00D469AB"/>
    <w:rsid w:val="00D51777"/>
    <w:rsid w:val="00D66401"/>
    <w:rsid w:val="00D74920"/>
    <w:rsid w:val="00D80221"/>
    <w:rsid w:val="00D82D16"/>
    <w:rsid w:val="00D9113F"/>
    <w:rsid w:val="00D93ECC"/>
    <w:rsid w:val="00DE6114"/>
    <w:rsid w:val="00DF0509"/>
    <w:rsid w:val="00DF2E46"/>
    <w:rsid w:val="00E04BE5"/>
    <w:rsid w:val="00E07F24"/>
    <w:rsid w:val="00E12471"/>
    <w:rsid w:val="00E210E8"/>
    <w:rsid w:val="00E2795B"/>
    <w:rsid w:val="00E41964"/>
    <w:rsid w:val="00E42D8F"/>
    <w:rsid w:val="00E44852"/>
    <w:rsid w:val="00E52F58"/>
    <w:rsid w:val="00E63380"/>
    <w:rsid w:val="00E86292"/>
    <w:rsid w:val="00E979F7"/>
    <w:rsid w:val="00EB07EF"/>
    <w:rsid w:val="00EB1A16"/>
    <w:rsid w:val="00EB3725"/>
    <w:rsid w:val="00EC00CE"/>
    <w:rsid w:val="00EC2031"/>
    <w:rsid w:val="00EE493B"/>
    <w:rsid w:val="00EE4EB1"/>
    <w:rsid w:val="00EF0E97"/>
    <w:rsid w:val="00EF4655"/>
    <w:rsid w:val="00EF631F"/>
    <w:rsid w:val="00EF7892"/>
    <w:rsid w:val="00F01794"/>
    <w:rsid w:val="00F06799"/>
    <w:rsid w:val="00F16A2D"/>
    <w:rsid w:val="00F17BA0"/>
    <w:rsid w:val="00F24E95"/>
    <w:rsid w:val="00F508CB"/>
    <w:rsid w:val="00F54F97"/>
    <w:rsid w:val="00F57DEE"/>
    <w:rsid w:val="00F61C03"/>
    <w:rsid w:val="00F85721"/>
    <w:rsid w:val="00F8756E"/>
    <w:rsid w:val="00F906ED"/>
    <w:rsid w:val="00F92976"/>
    <w:rsid w:val="00F977A5"/>
    <w:rsid w:val="00FA2EAF"/>
    <w:rsid w:val="00FA54E2"/>
    <w:rsid w:val="00FB10F5"/>
    <w:rsid w:val="00FD0E49"/>
    <w:rsid w:val="00FD2391"/>
    <w:rsid w:val="00FE4001"/>
    <w:rsid w:val="00FE5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4920"/>
    <w:rPr>
      <w:rFonts w:ascii="Tahoma" w:hAnsi="Tahoma" w:cs="Tahoma"/>
      <w:sz w:val="16"/>
      <w:szCs w:val="16"/>
    </w:rPr>
  </w:style>
  <w:style w:type="character" w:customStyle="1" w:styleId="BalloonTextChar">
    <w:name w:val="Balloon Text Char"/>
    <w:basedOn w:val="DefaultParagraphFont"/>
    <w:link w:val="BalloonText"/>
    <w:uiPriority w:val="99"/>
    <w:semiHidden/>
    <w:rsid w:val="00D74920"/>
    <w:rPr>
      <w:rFonts w:ascii="Tahoma" w:hAnsi="Tahoma" w:cs="Tahoma"/>
      <w:sz w:val="16"/>
      <w:szCs w:val="16"/>
    </w:rPr>
  </w:style>
  <w:style w:type="paragraph" w:styleId="Caption">
    <w:name w:val="caption"/>
    <w:basedOn w:val="Normal"/>
    <w:next w:val="Normal"/>
    <w:uiPriority w:val="35"/>
    <w:unhideWhenUsed/>
    <w:qFormat/>
    <w:rsid w:val="00B72CF9"/>
    <w:pPr>
      <w:spacing w:after="200"/>
    </w:pPr>
    <w:rPr>
      <w:b/>
      <w:bCs/>
      <w:color w:val="4F81BD" w:themeColor="accent1"/>
      <w:sz w:val="18"/>
      <w:szCs w:val="18"/>
    </w:rPr>
  </w:style>
  <w:style w:type="paragraph" w:styleId="Header">
    <w:name w:val="header"/>
    <w:basedOn w:val="Normal"/>
    <w:link w:val="HeaderChar"/>
    <w:uiPriority w:val="99"/>
    <w:unhideWhenUsed/>
    <w:rsid w:val="007221A5"/>
    <w:pPr>
      <w:tabs>
        <w:tab w:val="center" w:pos="4680"/>
        <w:tab w:val="right" w:pos="9360"/>
      </w:tabs>
    </w:pPr>
  </w:style>
  <w:style w:type="character" w:customStyle="1" w:styleId="HeaderChar">
    <w:name w:val="Header Char"/>
    <w:basedOn w:val="DefaultParagraphFont"/>
    <w:link w:val="Header"/>
    <w:uiPriority w:val="99"/>
    <w:rsid w:val="007221A5"/>
  </w:style>
  <w:style w:type="paragraph" w:styleId="Footer">
    <w:name w:val="footer"/>
    <w:basedOn w:val="Normal"/>
    <w:link w:val="FooterChar"/>
    <w:uiPriority w:val="99"/>
    <w:unhideWhenUsed/>
    <w:rsid w:val="007221A5"/>
    <w:pPr>
      <w:tabs>
        <w:tab w:val="center" w:pos="4680"/>
        <w:tab w:val="right" w:pos="9360"/>
      </w:tabs>
    </w:pPr>
  </w:style>
  <w:style w:type="character" w:customStyle="1" w:styleId="FooterChar">
    <w:name w:val="Footer Char"/>
    <w:basedOn w:val="DefaultParagraphFont"/>
    <w:link w:val="Footer"/>
    <w:uiPriority w:val="99"/>
    <w:rsid w:val="007221A5"/>
  </w:style>
  <w:style w:type="table" w:styleId="TableGrid">
    <w:name w:val="Table Grid"/>
    <w:basedOn w:val="TableNormal"/>
    <w:uiPriority w:val="59"/>
    <w:rsid w:val="004E28C0"/>
    <w:pPr>
      <w:spacing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QuoteChar">
    <w:name w:val="Quote Char"/>
    <w:rsid w:val="004E28C0"/>
    <w:rPr>
      <w:rFonts w:ascii="Lucida Grande" w:eastAsia="ヒラギノ角ゴ Pro W3" w:hAnsi="Lucida Grande"/>
      <w:b w:val="0"/>
      <w:i w:val="0"/>
      <w:color w:val="000000"/>
      <w:sz w:val="22"/>
    </w:rPr>
  </w:style>
  <w:style w:type="table" w:styleId="LightShading">
    <w:name w:val="Light Shading"/>
    <w:basedOn w:val="TableNormal"/>
    <w:uiPriority w:val="60"/>
    <w:rsid w:val="004E28C0"/>
    <w:pPr>
      <w:spacing w:line="240" w:lineRule="auto"/>
    </w:pPr>
    <w:rPr>
      <w:rFonts w:ascii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lainText">
    <w:name w:val="Plain Text"/>
    <w:basedOn w:val="Normal"/>
    <w:link w:val="PlainTextChar"/>
    <w:rsid w:val="00F17BA0"/>
    <w:rPr>
      <w:rFonts w:ascii="Courier New" w:eastAsia="Times New Roman" w:hAnsi="Courier New" w:cs="Courier New"/>
      <w:sz w:val="20"/>
      <w:szCs w:val="20"/>
    </w:rPr>
  </w:style>
  <w:style w:type="character" w:customStyle="1" w:styleId="PlainTextChar">
    <w:name w:val="Plain Text Char"/>
    <w:basedOn w:val="DefaultParagraphFont"/>
    <w:link w:val="PlainText"/>
    <w:rsid w:val="00F17BA0"/>
    <w:rPr>
      <w:rFonts w:ascii="Courier New" w:eastAsia="Times New Roman" w:hAnsi="Courier New" w:cs="Courier New"/>
      <w:sz w:val="20"/>
      <w:szCs w:val="20"/>
    </w:rPr>
  </w:style>
  <w:style w:type="paragraph" w:styleId="FootnoteText">
    <w:name w:val="footnote text"/>
    <w:basedOn w:val="Normal"/>
    <w:link w:val="FootnoteTextChar"/>
    <w:uiPriority w:val="99"/>
    <w:semiHidden/>
    <w:unhideWhenUsed/>
    <w:rsid w:val="008B1A6A"/>
    <w:rPr>
      <w:sz w:val="20"/>
      <w:szCs w:val="20"/>
    </w:rPr>
  </w:style>
  <w:style w:type="character" w:customStyle="1" w:styleId="FootnoteTextChar">
    <w:name w:val="Footnote Text Char"/>
    <w:basedOn w:val="DefaultParagraphFont"/>
    <w:link w:val="FootnoteText"/>
    <w:uiPriority w:val="99"/>
    <w:semiHidden/>
    <w:rsid w:val="008B1A6A"/>
    <w:rPr>
      <w:sz w:val="20"/>
      <w:szCs w:val="20"/>
    </w:rPr>
  </w:style>
  <w:style w:type="character" w:styleId="FootnoteReference">
    <w:name w:val="footnote reference"/>
    <w:basedOn w:val="DefaultParagraphFont"/>
    <w:uiPriority w:val="99"/>
    <w:semiHidden/>
    <w:unhideWhenUsed/>
    <w:rsid w:val="008B1A6A"/>
    <w:rPr>
      <w:vertAlign w:val="superscript"/>
    </w:rPr>
  </w:style>
  <w:style w:type="character" w:styleId="CommentReference">
    <w:name w:val="annotation reference"/>
    <w:basedOn w:val="DefaultParagraphFont"/>
    <w:uiPriority w:val="99"/>
    <w:semiHidden/>
    <w:unhideWhenUsed/>
    <w:rsid w:val="000143C7"/>
    <w:rPr>
      <w:sz w:val="16"/>
      <w:szCs w:val="16"/>
    </w:rPr>
  </w:style>
  <w:style w:type="paragraph" w:styleId="CommentText">
    <w:name w:val="annotation text"/>
    <w:basedOn w:val="Normal"/>
    <w:link w:val="CommentTextChar"/>
    <w:uiPriority w:val="99"/>
    <w:semiHidden/>
    <w:unhideWhenUsed/>
    <w:rsid w:val="000143C7"/>
    <w:rPr>
      <w:sz w:val="20"/>
      <w:szCs w:val="20"/>
    </w:rPr>
  </w:style>
  <w:style w:type="character" w:customStyle="1" w:styleId="CommentTextChar">
    <w:name w:val="Comment Text Char"/>
    <w:basedOn w:val="DefaultParagraphFont"/>
    <w:link w:val="CommentText"/>
    <w:uiPriority w:val="99"/>
    <w:semiHidden/>
    <w:rsid w:val="000143C7"/>
    <w:rPr>
      <w:sz w:val="20"/>
      <w:szCs w:val="20"/>
    </w:rPr>
  </w:style>
  <w:style w:type="paragraph" w:styleId="CommentSubject">
    <w:name w:val="annotation subject"/>
    <w:basedOn w:val="CommentText"/>
    <w:next w:val="CommentText"/>
    <w:link w:val="CommentSubjectChar"/>
    <w:uiPriority w:val="99"/>
    <w:semiHidden/>
    <w:unhideWhenUsed/>
    <w:rsid w:val="000143C7"/>
    <w:rPr>
      <w:b/>
      <w:bCs/>
    </w:rPr>
  </w:style>
  <w:style w:type="character" w:customStyle="1" w:styleId="CommentSubjectChar">
    <w:name w:val="Comment Subject Char"/>
    <w:basedOn w:val="CommentTextChar"/>
    <w:link w:val="CommentSubject"/>
    <w:uiPriority w:val="99"/>
    <w:semiHidden/>
    <w:rsid w:val="000143C7"/>
    <w:rPr>
      <w:b/>
      <w:bCs/>
      <w:sz w:val="20"/>
      <w:szCs w:val="20"/>
    </w:rPr>
  </w:style>
  <w:style w:type="paragraph" w:styleId="EndnoteText">
    <w:name w:val="endnote text"/>
    <w:basedOn w:val="Normal"/>
    <w:link w:val="EndnoteTextChar"/>
    <w:uiPriority w:val="99"/>
    <w:semiHidden/>
    <w:unhideWhenUsed/>
    <w:rsid w:val="00343AEE"/>
    <w:rPr>
      <w:sz w:val="20"/>
      <w:szCs w:val="20"/>
    </w:rPr>
  </w:style>
  <w:style w:type="character" w:customStyle="1" w:styleId="EndnoteTextChar">
    <w:name w:val="Endnote Text Char"/>
    <w:basedOn w:val="DefaultParagraphFont"/>
    <w:link w:val="EndnoteText"/>
    <w:uiPriority w:val="99"/>
    <w:semiHidden/>
    <w:rsid w:val="00343AEE"/>
    <w:rPr>
      <w:sz w:val="20"/>
      <w:szCs w:val="20"/>
    </w:rPr>
  </w:style>
  <w:style w:type="character" w:styleId="EndnoteReference">
    <w:name w:val="endnote reference"/>
    <w:basedOn w:val="DefaultParagraphFont"/>
    <w:uiPriority w:val="99"/>
    <w:semiHidden/>
    <w:unhideWhenUsed/>
    <w:rsid w:val="00343AEE"/>
    <w:rPr>
      <w:vertAlign w:val="superscript"/>
    </w:rPr>
  </w:style>
  <w:style w:type="character" w:styleId="Hyperlink">
    <w:name w:val="Hyperlink"/>
    <w:basedOn w:val="DefaultParagraphFont"/>
    <w:uiPriority w:val="99"/>
    <w:unhideWhenUsed/>
    <w:rsid w:val="001C6C1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4920"/>
    <w:rPr>
      <w:rFonts w:ascii="Tahoma" w:hAnsi="Tahoma" w:cs="Tahoma"/>
      <w:sz w:val="16"/>
      <w:szCs w:val="16"/>
    </w:rPr>
  </w:style>
  <w:style w:type="character" w:customStyle="1" w:styleId="BalloonTextChar">
    <w:name w:val="Balloon Text Char"/>
    <w:basedOn w:val="DefaultParagraphFont"/>
    <w:link w:val="BalloonText"/>
    <w:uiPriority w:val="99"/>
    <w:semiHidden/>
    <w:rsid w:val="00D74920"/>
    <w:rPr>
      <w:rFonts w:ascii="Tahoma" w:hAnsi="Tahoma" w:cs="Tahoma"/>
      <w:sz w:val="16"/>
      <w:szCs w:val="16"/>
    </w:rPr>
  </w:style>
  <w:style w:type="paragraph" w:styleId="Caption">
    <w:name w:val="caption"/>
    <w:basedOn w:val="Normal"/>
    <w:next w:val="Normal"/>
    <w:uiPriority w:val="35"/>
    <w:unhideWhenUsed/>
    <w:qFormat/>
    <w:rsid w:val="00B72CF9"/>
    <w:pPr>
      <w:spacing w:after="200"/>
    </w:pPr>
    <w:rPr>
      <w:b/>
      <w:bCs/>
      <w:color w:val="4F81BD" w:themeColor="accent1"/>
      <w:sz w:val="18"/>
      <w:szCs w:val="18"/>
    </w:rPr>
  </w:style>
  <w:style w:type="paragraph" w:styleId="Header">
    <w:name w:val="header"/>
    <w:basedOn w:val="Normal"/>
    <w:link w:val="HeaderChar"/>
    <w:uiPriority w:val="99"/>
    <w:unhideWhenUsed/>
    <w:rsid w:val="007221A5"/>
    <w:pPr>
      <w:tabs>
        <w:tab w:val="center" w:pos="4680"/>
        <w:tab w:val="right" w:pos="9360"/>
      </w:tabs>
    </w:pPr>
  </w:style>
  <w:style w:type="character" w:customStyle="1" w:styleId="HeaderChar">
    <w:name w:val="Header Char"/>
    <w:basedOn w:val="DefaultParagraphFont"/>
    <w:link w:val="Header"/>
    <w:uiPriority w:val="99"/>
    <w:rsid w:val="007221A5"/>
  </w:style>
  <w:style w:type="paragraph" w:styleId="Footer">
    <w:name w:val="footer"/>
    <w:basedOn w:val="Normal"/>
    <w:link w:val="FooterChar"/>
    <w:uiPriority w:val="99"/>
    <w:unhideWhenUsed/>
    <w:rsid w:val="007221A5"/>
    <w:pPr>
      <w:tabs>
        <w:tab w:val="center" w:pos="4680"/>
        <w:tab w:val="right" w:pos="9360"/>
      </w:tabs>
    </w:pPr>
  </w:style>
  <w:style w:type="character" w:customStyle="1" w:styleId="FooterChar">
    <w:name w:val="Footer Char"/>
    <w:basedOn w:val="DefaultParagraphFont"/>
    <w:link w:val="Footer"/>
    <w:uiPriority w:val="99"/>
    <w:rsid w:val="007221A5"/>
  </w:style>
  <w:style w:type="table" w:styleId="TableGrid">
    <w:name w:val="Table Grid"/>
    <w:basedOn w:val="TableNormal"/>
    <w:uiPriority w:val="59"/>
    <w:rsid w:val="004E28C0"/>
    <w:pPr>
      <w:spacing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QuoteChar">
    <w:name w:val="Quote Char"/>
    <w:rsid w:val="004E28C0"/>
    <w:rPr>
      <w:rFonts w:ascii="Lucida Grande" w:eastAsia="ヒラギノ角ゴ Pro W3" w:hAnsi="Lucida Grande"/>
      <w:b w:val="0"/>
      <w:i w:val="0"/>
      <w:color w:val="000000"/>
      <w:sz w:val="22"/>
    </w:rPr>
  </w:style>
  <w:style w:type="table" w:styleId="LightShading">
    <w:name w:val="Light Shading"/>
    <w:basedOn w:val="TableNormal"/>
    <w:uiPriority w:val="60"/>
    <w:rsid w:val="004E28C0"/>
    <w:pPr>
      <w:spacing w:line="240" w:lineRule="auto"/>
    </w:pPr>
    <w:rPr>
      <w:rFonts w:ascii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lainText">
    <w:name w:val="Plain Text"/>
    <w:basedOn w:val="Normal"/>
    <w:link w:val="PlainTextChar"/>
    <w:rsid w:val="00F17BA0"/>
    <w:rPr>
      <w:rFonts w:ascii="Courier New" w:eastAsia="Times New Roman" w:hAnsi="Courier New" w:cs="Courier New"/>
      <w:sz w:val="20"/>
      <w:szCs w:val="20"/>
    </w:rPr>
  </w:style>
  <w:style w:type="character" w:customStyle="1" w:styleId="PlainTextChar">
    <w:name w:val="Plain Text Char"/>
    <w:basedOn w:val="DefaultParagraphFont"/>
    <w:link w:val="PlainText"/>
    <w:rsid w:val="00F17BA0"/>
    <w:rPr>
      <w:rFonts w:ascii="Courier New" w:eastAsia="Times New Roman" w:hAnsi="Courier New" w:cs="Courier New"/>
      <w:sz w:val="20"/>
      <w:szCs w:val="20"/>
    </w:rPr>
  </w:style>
  <w:style w:type="paragraph" w:styleId="FootnoteText">
    <w:name w:val="footnote text"/>
    <w:basedOn w:val="Normal"/>
    <w:link w:val="FootnoteTextChar"/>
    <w:uiPriority w:val="99"/>
    <w:semiHidden/>
    <w:unhideWhenUsed/>
    <w:rsid w:val="008B1A6A"/>
    <w:rPr>
      <w:sz w:val="20"/>
      <w:szCs w:val="20"/>
    </w:rPr>
  </w:style>
  <w:style w:type="character" w:customStyle="1" w:styleId="FootnoteTextChar">
    <w:name w:val="Footnote Text Char"/>
    <w:basedOn w:val="DefaultParagraphFont"/>
    <w:link w:val="FootnoteText"/>
    <w:uiPriority w:val="99"/>
    <w:semiHidden/>
    <w:rsid w:val="008B1A6A"/>
    <w:rPr>
      <w:sz w:val="20"/>
      <w:szCs w:val="20"/>
    </w:rPr>
  </w:style>
  <w:style w:type="character" w:styleId="FootnoteReference">
    <w:name w:val="footnote reference"/>
    <w:basedOn w:val="DefaultParagraphFont"/>
    <w:uiPriority w:val="99"/>
    <w:semiHidden/>
    <w:unhideWhenUsed/>
    <w:rsid w:val="008B1A6A"/>
    <w:rPr>
      <w:vertAlign w:val="superscript"/>
    </w:rPr>
  </w:style>
  <w:style w:type="character" w:styleId="CommentReference">
    <w:name w:val="annotation reference"/>
    <w:basedOn w:val="DefaultParagraphFont"/>
    <w:uiPriority w:val="99"/>
    <w:semiHidden/>
    <w:unhideWhenUsed/>
    <w:rsid w:val="000143C7"/>
    <w:rPr>
      <w:sz w:val="16"/>
      <w:szCs w:val="16"/>
    </w:rPr>
  </w:style>
  <w:style w:type="paragraph" w:styleId="CommentText">
    <w:name w:val="annotation text"/>
    <w:basedOn w:val="Normal"/>
    <w:link w:val="CommentTextChar"/>
    <w:uiPriority w:val="99"/>
    <w:semiHidden/>
    <w:unhideWhenUsed/>
    <w:rsid w:val="000143C7"/>
    <w:rPr>
      <w:sz w:val="20"/>
      <w:szCs w:val="20"/>
    </w:rPr>
  </w:style>
  <w:style w:type="character" w:customStyle="1" w:styleId="CommentTextChar">
    <w:name w:val="Comment Text Char"/>
    <w:basedOn w:val="DefaultParagraphFont"/>
    <w:link w:val="CommentText"/>
    <w:uiPriority w:val="99"/>
    <w:semiHidden/>
    <w:rsid w:val="000143C7"/>
    <w:rPr>
      <w:sz w:val="20"/>
      <w:szCs w:val="20"/>
    </w:rPr>
  </w:style>
  <w:style w:type="paragraph" w:styleId="CommentSubject">
    <w:name w:val="annotation subject"/>
    <w:basedOn w:val="CommentText"/>
    <w:next w:val="CommentText"/>
    <w:link w:val="CommentSubjectChar"/>
    <w:uiPriority w:val="99"/>
    <w:semiHidden/>
    <w:unhideWhenUsed/>
    <w:rsid w:val="000143C7"/>
    <w:rPr>
      <w:b/>
      <w:bCs/>
    </w:rPr>
  </w:style>
  <w:style w:type="character" w:customStyle="1" w:styleId="CommentSubjectChar">
    <w:name w:val="Comment Subject Char"/>
    <w:basedOn w:val="CommentTextChar"/>
    <w:link w:val="CommentSubject"/>
    <w:uiPriority w:val="99"/>
    <w:semiHidden/>
    <w:rsid w:val="000143C7"/>
    <w:rPr>
      <w:b/>
      <w:bCs/>
      <w:sz w:val="20"/>
      <w:szCs w:val="20"/>
    </w:rPr>
  </w:style>
  <w:style w:type="paragraph" w:styleId="EndnoteText">
    <w:name w:val="endnote text"/>
    <w:basedOn w:val="Normal"/>
    <w:link w:val="EndnoteTextChar"/>
    <w:uiPriority w:val="99"/>
    <w:semiHidden/>
    <w:unhideWhenUsed/>
    <w:rsid w:val="00343AEE"/>
    <w:rPr>
      <w:sz w:val="20"/>
      <w:szCs w:val="20"/>
    </w:rPr>
  </w:style>
  <w:style w:type="character" w:customStyle="1" w:styleId="EndnoteTextChar">
    <w:name w:val="Endnote Text Char"/>
    <w:basedOn w:val="DefaultParagraphFont"/>
    <w:link w:val="EndnoteText"/>
    <w:uiPriority w:val="99"/>
    <w:semiHidden/>
    <w:rsid w:val="00343AEE"/>
    <w:rPr>
      <w:sz w:val="20"/>
      <w:szCs w:val="20"/>
    </w:rPr>
  </w:style>
  <w:style w:type="character" w:styleId="EndnoteReference">
    <w:name w:val="endnote reference"/>
    <w:basedOn w:val="DefaultParagraphFont"/>
    <w:uiPriority w:val="99"/>
    <w:semiHidden/>
    <w:unhideWhenUsed/>
    <w:rsid w:val="00343AEE"/>
    <w:rPr>
      <w:vertAlign w:val="superscript"/>
    </w:rPr>
  </w:style>
  <w:style w:type="character" w:styleId="Hyperlink">
    <w:name w:val="Hyperlink"/>
    <w:basedOn w:val="DefaultParagraphFont"/>
    <w:uiPriority w:val="99"/>
    <w:unhideWhenUsed/>
    <w:rsid w:val="001C6C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6642">
      <w:bodyDiv w:val="1"/>
      <w:marLeft w:val="0"/>
      <w:marRight w:val="0"/>
      <w:marTop w:val="0"/>
      <w:marBottom w:val="0"/>
      <w:divBdr>
        <w:top w:val="none" w:sz="0" w:space="0" w:color="auto"/>
        <w:left w:val="none" w:sz="0" w:space="0" w:color="auto"/>
        <w:bottom w:val="none" w:sz="0" w:space="0" w:color="auto"/>
        <w:right w:val="none" w:sz="0" w:space="0" w:color="auto"/>
      </w:divBdr>
    </w:div>
    <w:div w:id="504368745">
      <w:bodyDiv w:val="1"/>
      <w:marLeft w:val="0"/>
      <w:marRight w:val="0"/>
      <w:marTop w:val="0"/>
      <w:marBottom w:val="0"/>
      <w:divBdr>
        <w:top w:val="none" w:sz="0" w:space="0" w:color="auto"/>
        <w:left w:val="none" w:sz="0" w:space="0" w:color="auto"/>
        <w:bottom w:val="none" w:sz="0" w:space="0" w:color="auto"/>
        <w:right w:val="none" w:sz="0" w:space="0" w:color="auto"/>
      </w:divBdr>
    </w:div>
    <w:div w:id="1816220598">
      <w:bodyDiv w:val="1"/>
      <w:marLeft w:val="0"/>
      <w:marRight w:val="0"/>
      <w:marTop w:val="0"/>
      <w:marBottom w:val="0"/>
      <w:divBdr>
        <w:top w:val="none" w:sz="0" w:space="0" w:color="auto"/>
        <w:left w:val="none" w:sz="0" w:space="0" w:color="auto"/>
        <w:bottom w:val="none" w:sz="0" w:space="0" w:color="auto"/>
        <w:right w:val="none" w:sz="0" w:space="0" w:color="auto"/>
      </w:divBdr>
    </w:div>
    <w:div w:id="1816605236">
      <w:bodyDiv w:val="1"/>
      <w:marLeft w:val="0"/>
      <w:marRight w:val="0"/>
      <w:marTop w:val="0"/>
      <w:marBottom w:val="0"/>
      <w:divBdr>
        <w:top w:val="none" w:sz="0" w:space="0" w:color="auto"/>
        <w:left w:val="none" w:sz="0" w:space="0" w:color="auto"/>
        <w:bottom w:val="none" w:sz="0" w:space="0" w:color="auto"/>
        <w:right w:val="none" w:sz="0" w:space="0" w:color="auto"/>
      </w:divBdr>
    </w:div>
    <w:div w:id="1930237945">
      <w:bodyDiv w:val="1"/>
      <w:marLeft w:val="0"/>
      <w:marRight w:val="0"/>
      <w:marTop w:val="0"/>
      <w:marBottom w:val="0"/>
      <w:divBdr>
        <w:top w:val="none" w:sz="0" w:space="0" w:color="auto"/>
        <w:left w:val="none" w:sz="0" w:space="0" w:color="auto"/>
        <w:bottom w:val="none" w:sz="0" w:space="0" w:color="auto"/>
        <w:right w:val="none" w:sz="0" w:space="0" w:color="auto"/>
      </w:divBdr>
    </w:div>
    <w:div w:id="2052147453">
      <w:bodyDiv w:val="1"/>
      <w:marLeft w:val="0"/>
      <w:marRight w:val="0"/>
      <w:marTop w:val="0"/>
      <w:marBottom w:val="0"/>
      <w:divBdr>
        <w:top w:val="none" w:sz="0" w:space="0" w:color="auto"/>
        <w:left w:val="none" w:sz="0" w:space="0" w:color="auto"/>
        <w:bottom w:val="none" w:sz="0" w:space="0" w:color="auto"/>
        <w:right w:val="none" w:sz="0" w:space="0" w:color="auto"/>
      </w:divBdr>
    </w:div>
    <w:div w:id="2058581508">
      <w:bodyDiv w:val="1"/>
      <w:marLeft w:val="0"/>
      <w:marRight w:val="0"/>
      <w:marTop w:val="0"/>
      <w:marBottom w:val="0"/>
      <w:divBdr>
        <w:top w:val="none" w:sz="0" w:space="0" w:color="auto"/>
        <w:left w:val="none" w:sz="0" w:space="0" w:color="auto"/>
        <w:bottom w:val="none" w:sz="0" w:space="0" w:color="auto"/>
        <w:right w:val="none" w:sz="0" w:space="0" w:color="auto"/>
      </w:divBdr>
    </w:div>
    <w:div w:id="2146771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ganr@purdue.edu" TargetMode="External"/><Relationship Id="rId13" Type="http://schemas.openxmlformats.org/officeDocument/2006/relationships/image" Target="media/image5.jpg"/><Relationship Id="rId18" Type="http://schemas.openxmlformats.org/officeDocument/2006/relationships/image" Target="media/image10.jp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78162-BCA9-4498-81E8-8480726F1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F25D091D</Template>
  <TotalTime>0</TotalTime>
  <Pages>47</Pages>
  <Words>9877</Words>
  <Characters>56305</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Hogan</dc:creator>
  <cp:lastModifiedBy>hoganr</cp:lastModifiedBy>
  <cp:revision>2</cp:revision>
  <cp:lastPrinted>2013-03-01T13:40:00Z</cp:lastPrinted>
  <dcterms:created xsi:type="dcterms:W3CDTF">2013-03-04T20:25:00Z</dcterms:created>
  <dcterms:modified xsi:type="dcterms:W3CDTF">2013-03-04T20:25:00Z</dcterms:modified>
</cp:coreProperties>
</file>